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DBD3D" w14:textId="051A985B" w:rsidR="00DC5D81" w:rsidRPr="00EE6FE0" w:rsidRDefault="00DC5D81" w:rsidP="009505CD">
      <w:pPr>
        <w:spacing w:after="0" w:line="360" w:lineRule="auto"/>
        <w:jc w:val="center"/>
        <w:rPr>
          <w:rFonts w:ascii="Times New Roman" w:hAnsi="Times New Roman" w:cs="Times New Roman"/>
          <w:b/>
          <w:bCs/>
          <w:sz w:val="24"/>
          <w:szCs w:val="24"/>
        </w:rPr>
      </w:pPr>
      <w:r w:rsidRPr="00EE6FE0">
        <w:rPr>
          <w:rFonts w:ascii="Times New Roman" w:hAnsi="Times New Roman" w:cs="Times New Roman"/>
          <w:b/>
          <w:bCs/>
          <w:sz w:val="24"/>
          <w:szCs w:val="24"/>
        </w:rPr>
        <w:t>Amore di sembianza, amore di reale</w:t>
      </w:r>
    </w:p>
    <w:p w14:paraId="685388FD" w14:textId="41D5E90C" w:rsidR="00EE6FE0" w:rsidRPr="00EE6FE0" w:rsidRDefault="00EE6FE0" w:rsidP="009505CD">
      <w:pPr>
        <w:spacing w:after="0" w:line="360" w:lineRule="auto"/>
        <w:jc w:val="center"/>
        <w:rPr>
          <w:rFonts w:ascii="Times New Roman" w:hAnsi="Times New Roman" w:cs="Times New Roman"/>
          <w:i/>
          <w:iCs/>
          <w:sz w:val="24"/>
          <w:szCs w:val="24"/>
        </w:rPr>
      </w:pPr>
      <w:r w:rsidRPr="00EE6FE0">
        <w:rPr>
          <w:rFonts w:ascii="Times New Roman" w:hAnsi="Times New Roman" w:cs="Times New Roman"/>
          <w:i/>
          <w:iCs/>
          <w:sz w:val="24"/>
          <w:szCs w:val="24"/>
        </w:rPr>
        <w:t>Davide Pegoraro</w:t>
      </w:r>
    </w:p>
    <w:p w14:paraId="0F11A5A7" w14:textId="77777777" w:rsidR="00960C27" w:rsidRPr="00D9468C" w:rsidRDefault="00960C27" w:rsidP="009505CD">
      <w:pPr>
        <w:spacing w:after="0" w:line="360" w:lineRule="auto"/>
        <w:jc w:val="center"/>
        <w:rPr>
          <w:rFonts w:ascii="Times New Roman" w:hAnsi="Times New Roman" w:cs="Times New Roman"/>
          <w:sz w:val="24"/>
          <w:szCs w:val="24"/>
        </w:rPr>
      </w:pPr>
    </w:p>
    <w:p w14:paraId="3485DD93" w14:textId="77777777" w:rsidR="00F05CAC" w:rsidRDefault="00960C27" w:rsidP="009505CD">
      <w:pPr>
        <w:spacing w:after="0" w:line="360" w:lineRule="auto"/>
        <w:jc w:val="both"/>
        <w:rPr>
          <w:rFonts w:ascii="Times New Roman" w:hAnsi="Times New Roman" w:cs="Times New Roman"/>
          <w:sz w:val="24"/>
          <w:szCs w:val="24"/>
        </w:rPr>
      </w:pPr>
      <w:r w:rsidRPr="00D9468C">
        <w:rPr>
          <w:rFonts w:ascii="Times New Roman" w:hAnsi="Times New Roman" w:cs="Times New Roman"/>
          <w:sz w:val="24"/>
          <w:szCs w:val="24"/>
        </w:rPr>
        <w:t xml:space="preserve">L’inizio di quel nuovo discorso chiamato psicoanalisi, i cui germi affondano nel testo freudiano degli </w:t>
      </w:r>
      <w:r w:rsidRPr="00D9468C">
        <w:rPr>
          <w:rFonts w:ascii="Times New Roman" w:hAnsi="Times New Roman" w:cs="Times New Roman"/>
          <w:i/>
          <w:iCs/>
          <w:sz w:val="24"/>
          <w:szCs w:val="24"/>
        </w:rPr>
        <w:t>Studi sull’isteria</w:t>
      </w:r>
      <w:r w:rsidR="00D9468C">
        <w:rPr>
          <w:rStyle w:val="Rimandonotaapidipagina"/>
          <w:rFonts w:ascii="Times New Roman" w:hAnsi="Times New Roman" w:cs="Times New Roman"/>
          <w:i/>
          <w:iCs/>
          <w:sz w:val="24"/>
          <w:szCs w:val="24"/>
        </w:rPr>
        <w:footnoteReference w:id="1"/>
      </w:r>
      <w:r w:rsidRPr="00D9468C">
        <w:rPr>
          <w:rFonts w:ascii="Times New Roman" w:hAnsi="Times New Roman" w:cs="Times New Roman"/>
          <w:sz w:val="24"/>
          <w:szCs w:val="24"/>
        </w:rPr>
        <w:t xml:space="preserve">, ha avuto come contingenza l’incontro con l’amore: un amore di transfert prodottosi nella relazione di cura tra </w:t>
      </w:r>
      <w:proofErr w:type="spellStart"/>
      <w:r w:rsidRPr="00D9468C">
        <w:rPr>
          <w:rFonts w:ascii="Times New Roman" w:hAnsi="Times New Roman" w:cs="Times New Roman"/>
          <w:sz w:val="24"/>
          <w:szCs w:val="24"/>
        </w:rPr>
        <w:t>Bertha</w:t>
      </w:r>
      <w:proofErr w:type="spellEnd"/>
      <w:r w:rsidRPr="00D9468C">
        <w:rPr>
          <w:rFonts w:ascii="Times New Roman" w:hAnsi="Times New Roman" w:cs="Times New Roman"/>
          <w:sz w:val="24"/>
          <w:szCs w:val="24"/>
        </w:rPr>
        <w:t xml:space="preserve"> </w:t>
      </w:r>
      <w:proofErr w:type="spellStart"/>
      <w:r w:rsidRPr="00D9468C">
        <w:rPr>
          <w:rFonts w:ascii="Times New Roman" w:hAnsi="Times New Roman" w:cs="Times New Roman"/>
          <w:sz w:val="24"/>
          <w:szCs w:val="24"/>
        </w:rPr>
        <w:t>Pappenheim</w:t>
      </w:r>
      <w:proofErr w:type="spellEnd"/>
      <w:r w:rsidRPr="00D9468C">
        <w:rPr>
          <w:rFonts w:ascii="Times New Roman" w:hAnsi="Times New Roman" w:cs="Times New Roman"/>
          <w:sz w:val="24"/>
          <w:szCs w:val="24"/>
        </w:rPr>
        <w:t xml:space="preserve"> e il dottor </w:t>
      </w:r>
      <w:proofErr w:type="spellStart"/>
      <w:r w:rsidRPr="00D9468C">
        <w:rPr>
          <w:rFonts w:ascii="Times New Roman" w:hAnsi="Times New Roman" w:cs="Times New Roman"/>
          <w:sz w:val="24"/>
          <w:szCs w:val="24"/>
        </w:rPr>
        <w:t>Breuer</w:t>
      </w:r>
      <w:proofErr w:type="spellEnd"/>
      <w:r w:rsidRPr="00D9468C">
        <w:rPr>
          <w:rFonts w:ascii="Times New Roman" w:hAnsi="Times New Roman" w:cs="Times New Roman"/>
          <w:sz w:val="24"/>
          <w:szCs w:val="24"/>
        </w:rPr>
        <w:t>. Ci è però voluta l’</w:t>
      </w:r>
      <w:r w:rsidR="006F2FE0" w:rsidRPr="00D9468C">
        <w:rPr>
          <w:rFonts w:ascii="Times New Roman" w:hAnsi="Times New Roman" w:cs="Times New Roman"/>
          <w:sz w:val="24"/>
          <w:szCs w:val="24"/>
        </w:rPr>
        <w:t>arditezza di Freud perché questo</w:t>
      </w:r>
      <w:r w:rsidRPr="00D9468C">
        <w:rPr>
          <w:rFonts w:ascii="Times New Roman" w:hAnsi="Times New Roman" w:cs="Times New Roman"/>
          <w:sz w:val="24"/>
          <w:szCs w:val="24"/>
        </w:rPr>
        <w:t xml:space="preserve"> evento venisse letto come tale. Anche Lacan, quando dedica un intero anno</w:t>
      </w:r>
      <w:r w:rsidR="006F2FE0" w:rsidRPr="00D9468C">
        <w:rPr>
          <w:rFonts w:ascii="Times New Roman" w:hAnsi="Times New Roman" w:cs="Times New Roman"/>
          <w:sz w:val="24"/>
          <w:szCs w:val="24"/>
        </w:rPr>
        <w:t xml:space="preserve"> (1960-1961) al tema del transfert, parte da un antico dialogo sull’amore, il Simposio di Platone. L’amore come affetto prodotto da un certo dire lega analizzante e analista in una relazione di cura. </w:t>
      </w:r>
      <w:r w:rsidR="00F55D22" w:rsidRPr="00D9468C">
        <w:rPr>
          <w:rFonts w:ascii="Times New Roman" w:hAnsi="Times New Roman" w:cs="Times New Roman"/>
          <w:sz w:val="24"/>
          <w:szCs w:val="24"/>
        </w:rPr>
        <w:t xml:space="preserve">Ma di che amore si tratta e qual è il suo destino? Per Freud questo amore di transfert era ciò che rendeva così singolare la relazione analitica da meritarsi il nome di nevrosi di transfert. E questa definizione di nevrosi metteva altresì in evidenza che non solo questo amore era il motore del trattamento stesso, </w:t>
      </w:r>
      <w:r w:rsidR="009D2517" w:rsidRPr="00D9468C">
        <w:rPr>
          <w:rFonts w:ascii="Times New Roman" w:hAnsi="Times New Roman" w:cs="Times New Roman"/>
          <w:sz w:val="24"/>
          <w:szCs w:val="24"/>
        </w:rPr>
        <w:t xml:space="preserve">ma ne era pure il suo ostacolo. Freud aveva già colto che era necessario che l’analista fosse incluso come sintomo del dire dell’analizzante non solo perché il discorso potesse avere avvio, ma anche perché con questa inclusione si scrivesse il suo punto limite. Come Socrate nel Simposio arriva a proporre ai dotti convitati un discorso sull’amore, affermando </w:t>
      </w:r>
      <w:r w:rsidR="004F4328">
        <w:rPr>
          <w:rFonts w:ascii="Times New Roman" w:hAnsi="Times New Roman" w:cs="Times New Roman"/>
          <w:sz w:val="24"/>
          <w:szCs w:val="24"/>
        </w:rPr>
        <w:t xml:space="preserve">«[…] </w:t>
      </w:r>
      <w:r w:rsidR="009D2517" w:rsidRPr="00D9468C">
        <w:rPr>
          <w:rFonts w:ascii="Times New Roman" w:hAnsi="Times New Roman" w:cs="Times New Roman"/>
          <w:sz w:val="24"/>
          <w:szCs w:val="24"/>
        </w:rPr>
        <w:t>di essere un esperto soltanto in cose di amore</w:t>
      </w:r>
      <w:r w:rsidR="004F4328">
        <w:rPr>
          <w:rFonts w:ascii="Times New Roman" w:hAnsi="Times New Roman" w:cs="Times New Roman"/>
          <w:sz w:val="24"/>
          <w:szCs w:val="24"/>
        </w:rPr>
        <w:t>»</w:t>
      </w:r>
      <w:r w:rsidR="004F4328">
        <w:rPr>
          <w:rStyle w:val="Rimandonotaapidipagina"/>
          <w:rFonts w:ascii="Times New Roman" w:hAnsi="Times New Roman" w:cs="Times New Roman"/>
          <w:sz w:val="24"/>
          <w:szCs w:val="24"/>
        </w:rPr>
        <w:footnoteReference w:id="2"/>
      </w:r>
      <w:r w:rsidR="00444B62" w:rsidRPr="00D9468C">
        <w:rPr>
          <w:rFonts w:ascii="Times New Roman" w:hAnsi="Times New Roman" w:cs="Times New Roman"/>
          <w:sz w:val="24"/>
          <w:szCs w:val="24"/>
        </w:rPr>
        <w:t xml:space="preserve">, così l’analista deve pur saperne qualcosa di questo affetto di transfert per poter condurre una cura. </w:t>
      </w:r>
      <w:r w:rsidR="002F7790" w:rsidRPr="00D9468C">
        <w:rPr>
          <w:rFonts w:ascii="Times New Roman" w:hAnsi="Times New Roman" w:cs="Times New Roman"/>
          <w:sz w:val="24"/>
          <w:szCs w:val="24"/>
        </w:rPr>
        <w:t xml:space="preserve">Sapere che cos’è, sapere del suo potere e del suo imbroglio, per poterlo opportunamente maneggiare e indirizzare. Freud con la pubblicazione dei suoi casi e dunque del suo lavoro di clinico ci ha offerto un esempio degli effetti d’abbaglio </w:t>
      </w:r>
      <w:r w:rsidR="004F4328">
        <w:rPr>
          <w:rFonts w:ascii="Times New Roman" w:hAnsi="Times New Roman" w:cs="Times New Roman"/>
          <w:sz w:val="24"/>
          <w:szCs w:val="24"/>
        </w:rPr>
        <w:t>«</w:t>
      </w:r>
      <w:r w:rsidR="002F7790" w:rsidRPr="00D9468C">
        <w:rPr>
          <w:rFonts w:ascii="Times New Roman" w:hAnsi="Times New Roman" w:cs="Times New Roman"/>
          <w:sz w:val="24"/>
          <w:szCs w:val="24"/>
        </w:rPr>
        <w:t>che l’amore di transfert può produrre nell’analista</w:t>
      </w:r>
      <w:r w:rsidR="005A7BF1" w:rsidRPr="00D9468C">
        <w:rPr>
          <w:rFonts w:ascii="Times New Roman" w:hAnsi="Times New Roman" w:cs="Times New Roman"/>
          <w:sz w:val="24"/>
          <w:szCs w:val="24"/>
        </w:rPr>
        <w:t xml:space="preserve">. Lacan, che ha letto e studiato Freud, ha messo sull’avviso gli analisti scrivendo per loro ne </w:t>
      </w:r>
      <w:r w:rsidR="005A7BF1" w:rsidRPr="004F4328">
        <w:rPr>
          <w:rFonts w:ascii="Times New Roman" w:hAnsi="Times New Roman" w:cs="Times New Roman"/>
          <w:i/>
          <w:iCs/>
          <w:sz w:val="24"/>
          <w:szCs w:val="24"/>
        </w:rPr>
        <w:t>La direzione della cura e i principi del suo potere</w:t>
      </w:r>
      <w:r w:rsidR="005A7BF1" w:rsidRPr="00D9468C">
        <w:rPr>
          <w:rFonts w:ascii="Times New Roman" w:hAnsi="Times New Roman" w:cs="Times New Roman"/>
          <w:sz w:val="24"/>
          <w:szCs w:val="24"/>
        </w:rPr>
        <w:t xml:space="preserve"> queste parole</w:t>
      </w:r>
      <w:r w:rsidR="002819F2" w:rsidRPr="00D9468C">
        <w:rPr>
          <w:rFonts w:ascii="Times New Roman" w:hAnsi="Times New Roman" w:cs="Times New Roman"/>
          <w:sz w:val="24"/>
          <w:szCs w:val="24"/>
        </w:rPr>
        <w:t xml:space="preserve"> di ammonimento sulle derive di una certa pratica</w:t>
      </w:r>
      <w:r w:rsidR="005A7BF1" w:rsidRPr="00D9468C">
        <w:rPr>
          <w:rFonts w:ascii="Times New Roman" w:hAnsi="Times New Roman" w:cs="Times New Roman"/>
          <w:sz w:val="24"/>
          <w:szCs w:val="24"/>
        </w:rPr>
        <w:t xml:space="preserve">: </w:t>
      </w:r>
      <w:r w:rsidR="004F4328">
        <w:rPr>
          <w:rFonts w:ascii="Times New Roman" w:hAnsi="Times New Roman" w:cs="Times New Roman"/>
          <w:sz w:val="24"/>
          <w:szCs w:val="24"/>
        </w:rPr>
        <w:t>«</w:t>
      </w:r>
      <w:r w:rsidR="005A7BF1" w:rsidRPr="00D9468C">
        <w:rPr>
          <w:rFonts w:ascii="Times New Roman" w:hAnsi="Times New Roman" w:cs="Times New Roman"/>
          <w:sz w:val="24"/>
          <w:szCs w:val="24"/>
        </w:rPr>
        <w:t xml:space="preserve">[…] il transfert diventa la sicurezza dell’analista, e la relazione col reale il terreno su cui si decide il combattimento. L’interpretazione che è stata aggiornata fino al consolidamento del transfert, viene </w:t>
      </w:r>
      <w:r w:rsidR="00773F91" w:rsidRPr="00D9468C">
        <w:rPr>
          <w:rFonts w:ascii="Times New Roman" w:hAnsi="Times New Roman" w:cs="Times New Roman"/>
          <w:sz w:val="24"/>
          <w:szCs w:val="24"/>
        </w:rPr>
        <w:t>allora subordinata alla riduzione di questo</w:t>
      </w:r>
      <w:r w:rsidR="004F4328">
        <w:rPr>
          <w:rFonts w:ascii="Times New Roman" w:hAnsi="Times New Roman" w:cs="Times New Roman"/>
          <w:sz w:val="24"/>
          <w:szCs w:val="24"/>
        </w:rPr>
        <w:t>»</w:t>
      </w:r>
      <w:r w:rsidR="00F05CAC">
        <w:rPr>
          <w:rStyle w:val="Rimandonotaapidipagina"/>
          <w:rFonts w:ascii="Times New Roman" w:hAnsi="Times New Roman" w:cs="Times New Roman"/>
          <w:sz w:val="24"/>
          <w:szCs w:val="24"/>
        </w:rPr>
        <w:footnoteReference w:id="3"/>
      </w:r>
      <w:r w:rsidR="00773F91" w:rsidRPr="00D9468C">
        <w:rPr>
          <w:rFonts w:ascii="Times New Roman" w:hAnsi="Times New Roman" w:cs="Times New Roman"/>
          <w:sz w:val="24"/>
          <w:szCs w:val="24"/>
        </w:rPr>
        <w:t>. Che cosa invece ci ha insegnato Freud?</w:t>
      </w:r>
    </w:p>
    <w:p w14:paraId="1734EC2A" w14:textId="77777777" w:rsidR="00F05CAC" w:rsidRDefault="00F05CAC" w:rsidP="009505CD">
      <w:pPr>
        <w:spacing w:after="0" w:line="360" w:lineRule="auto"/>
        <w:jc w:val="both"/>
        <w:rPr>
          <w:rFonts w:ascii="Times New Roman" w:hAnsi="Times New Roman" w:cs="Times New Roman"/>
          <w:sz w:val="24"/>
          <w:szCs w:val="24"/>
        </w:rPr>
      </w:pPr>
    </w:p>
    <w:p w14:paraId="01463792" w14:textId="278A6E0A" w:rsidR="00F05CAC" w:rsidRDefault="00773F91" w:rsidP="009505CD">
      <w:pPr>
        <w:spacing w:after="0" w:line="360" w:lineRule="auto"/>
        <w:jc w:val="both"/>
        <w:rPr>
          <w:rFonts w:ascii="Times New Roman" w:hAnsi="Times New Roman" w:cs="Times New Roman"/>
          <w:sz w:val="24"/>
          <w:szCs w:val="24"/>
        </w:rPr>
      </w:pPr>
      <w:r w:rsidRPr="00D9468C">
        <w:rPr>
          <w:rFonts w:ascii="Times New Roman" w:hAnsi="Times New Roman" w:cs="Times New Roman"/>
          <w:sz w:val="24"/>
          <w:szCs w:val="24"/>
        </w:rPr>
        <w:t xml:space="preserve">Egli ha subito riconosciuto che stava qui il principio del suo potere, che in ciò non si distingueva dalla suggestione, ma anche che questo potere gli offriva la via d’uscita dal problema a condizione </w:t>
      </w:r>
      <w:r w:rsidRPr="00D9468C">
        <w:rPr>
          <w:rFonts w:ascii="Times New Roman" w:hAnsi="Times New Roman" w:cs="Times New Roman"/>
          <w:sz w:val="24"/>
          <w:szCs w:val="24"/>
        </w:rPr>
        <w:lastRenderedPageBreak/>
        <w:t>di non usarne perché allora prendeva tutto il suo sviluppo di transfert. Da questo momento non si rivolge più a colui che gli sta in prossimità, e questa è la ragione per cui gli rifiuta il faccia a faccia</w:t>
      </w:r>
      <w:r w:rsidR="00CE381E">
        <w:rPr>
          <w:rStyle w:val="Rimandonotaapidipagina"/>
          <w:rFonts w:ascii="Times New Roman" w:hAnsi="Times New Roman" w:cs="Times New Roman"/>
          <w:sz w:val="24"/>
          <w:szCs w:val="24"/>
        </w:rPr>
        <w:footnoteReference w:id="4"/>
      </w:r>
      <w:r w:rsidRPr="00D9468C">
        <w:rPr>
          <w:rFonts w:ascii="Times New Roman" w:hAnsi="Times New Roman" w:cs="Times New Roman"/>
          <w:sz w:val="24"/>
          <w:szCs w:val="24"/>
        </w:rPr>
        <w:t>.</w:t>
      </w:r>
    </w:p>
    <w:p w14:paraId="76F1BD4E" w14:textId="77777777" w:rsidR="00F05CAC" w:rsidRDefault="00F05CAC" w:rsidP="009505CD">
      <w:pPr>
        <w:spacing w:after="0" w:line="360" w:lineRule="auto"/>
        <w:jc w:val="both"/>
        <w:rPr>
          <w:rFonts w:ascii="Times New Roman" w:hAnsi="Times New Roman" w:cs="Times New Roman"/>
          <w:sz w:val="24"/>
          <w:szCs w:val="24"/>
        </w:rPr>
      </w:pPr>
    </w:p>
    <w:p w14:paraId="0B142110" w14:textId="7DCE85D8" w:rsidR="004F4328" w:rsidRDefault="0027176D" w:rsidP="009505CD">
      <w:pPr>
        <w:spacing w:after="0" w:line="360" w:lineRule="auto"/>
        <w:jc w:val="both"/>
        <w:rPr>
          <w:rFonts w:ascii="Times New Roman" w:hAnsi="Times New Roman" w:cs="Times New Roman"/>
          <w:sz w:val="24"/>
          <w:szCs w:val="24"/>
        </w:rPr>
      </w:pPr>
      <w:r w:rsidRPr="00D9468C">
        <w:rPr>
          <w:rFonts w:ascii="Times New Roman" w:hAnsi="Times New Roman" w:cs="Times New Roman"/>
          <w:sz w:val="24"/>
          <w:szCs w:val="24"/>
        </w:rPr>
        <w:t xml:space="preserve">Colpisce questa contrapposizione tra la riduzione del transfert nella prospettiva post-freudiana e il suo sviluppo in quella lacaniana. </w:t>
      </w:r>
      <w:proofErr w:type="gramStart"/>
      <w:r w:rsidRPr="00D9468C">
        <w:rPr>
          <w:rFonts w:ascii="Times New Roman" w:hAnsi="Times New Roman" w:cs="Times New Roman"/>
          <w:sz w:val="24"/>
          <w:szCs w:val="24"/>
        </w:rPr>
        <w:t>Per esempio</w:t>
      </w:r>
      <w:proofErr w:type="gramEnd"/>
      <w:r w:rsidRPr="00D9468C">
        <w:rPr>
          <w:rFonts w:ascii="Times New Roman" w:hAnsi="Times New Roman" w:cs="Times New Roman"/>
          <w:sz w:val="24"/>
          <w:szCs w:val="24"/>
        </w:rPr>
        <w:t xml:space="preserve"> Freud, nella conduzione della cura della giovane Dora, </w:t>
      </w:r>
      <w:r w:rsidR="00977BF3" w:rsidRPr="00D9468C">
        <w:rPr>
          <w:rFonts w:ascii="Times New Roman" w:hAnsi="Times New Roman" w:cs="Times New Roman"/>
          <w:sz w:val="24"/>
          <w:szCs w:val="24"/>
        </w:rPr>
        <w:t xml:space="preserve">su cosa si inganna del transfert che emerge? Ecco cosa ci dice Lacan nel suo scritto del 1951 </w:t>
      </w:r>
      <w:r w:rsidR="00977BF3" w:rsidRPr="004F4328">
        <w:rPr>
          <w:rFonts w:ascii="Times New Roman" w:hAnsi="Times New Roman" w:cs="Times New Roman"/>
          <w:i/>
          <w:iCs/>
          <w:sz w:val="24"/>
          <w:szCs w:val="24"/>
        </w:rPr>
        <w:t>Intervento sul transfert</w:t>
      </w:r>
      <w:r w:rsidR="004F4328">
        <w:rPr>
          <w:rStyle w:val="Rimandonotaapidipagina"/>
          <w:rFonts w:ascii="Times New Roman" w:hAnsi="Times New Roman" w:cs="Times New Roman"/>
          <w:i/>
          <w:iCs/>
          <w:sz w:val="24"/>
          <w:szCs w:val="24"/>
        </w:rPr>
        <w:footnoteReference w:id="5"/>
      </w:r>
      <w:r w:rsidR="00977BF3" w:rsidRPr="00D9468C">
        <w:rPr>
          <w:rFonts w:ascii="Times New Roman" w:hAnsi="Times New Roman" w:cs="Times New Roman"/>
          <w:sz w:val="24"/>
          <w:szCs w:val="24"/>
        </w:rPr>
        <w:t>:</w:t>
      </w:r>
    </w:p>
    <w:p w14:paraId="329E4F2E" w14:textId="77777777" w:rsidR="004F4328" w:rsidRDefault="004F4328" w:rsidP="009505CD">
      <w:pPr>
        <w:spacing w:after="0" w:line="360" w:lineRule="auto"/>
        <w:jc w:val="both"/>
        <w:rPr>
          <w:rFonts w:ascii="Times New Roman" w:hAnsi="Times New Roman" w:cs="Times New Roman"/>
          <w:sz w:val="24"/>
          <w:szCs w:val="24"/>
        </w:rPr>
      </w:pPr>
    </w:p>
    <w:p w14:paraId="700E7853" w14:textId="7E525845" w:rsidR="004F4328" w:rsidRDefault="00977BF3" w:rsidP="009505CD">
      <w:pPr>
        <w:spacing w:after="0" w:line="360" w:lineRule="auto"/>
        <w:jc w:val="both"/>
        <w:rPr>
          <w:rFonts w:ascii="Times New Roman" w:hAnsi="Times New Roman" w:cs="Times New Roman"/>
          <w:sz w:val="24"/>
          <w:szCs w:val="24"/>
        </w:rPr>
      </w:pPr>
      <w:r w:rsidRPr="00D9468C">
        <w:rPr>
          <w:rFonts w:ascii="Times New Roman" w:hAnsi="Times New Roman" w:cs="Times New Roman"/>
          <w:sz w:val="24"/>
          <w:szCs w:val="24"/>
        </w:rPr>
        <w:t xml:space="preserve">Freud ha per il signor K… una simpatia che risale lontano, </w:t>
      </w:r>
      <w:r w:rsidR="009023D4" w:rsidRPr="00D9468C">
        <w:rPr>
          <w:rFonts w:ascii="Times New Roman" w:hAnsi="Times New Roman" w:cs="Times New Roman"/>
          <w:sz w:val="24"/>
          <w:szCs w:val="24"/>
        </w:rPr>
        <w:t>perché è stato lui a condurgli il padre di Dora, e che s’esprime in numerosi apprezzamenti. Dopo lo scacco del trattamento egli persiste a sognare una «vittoria dell’amore». Nei confronti di Dora, la sua partecipazione all’interesse che gli ispira è confrontata in diversi punti dell’osservazione. A dire il vero ella lo fa vibrare d’un fremito che, andando oltre le digressioni teoriche, innalza questo testo, fra le monografie psicopatologiche che costituiscono un gen</w:t>
      </w:r>
      <w:r w:rsidR="005C254E" w:rsidRPr="00D9468C">
        <w:rPr>
          <w:rFonts w:ascii="Times New Roman" w:hAnsi="Times New Roman" w:cs="Times New Roman"/>
          <w:sz w:val="24"/>
          <w:szCs w:val="24"/>
        </w:rPr>
        <w:t xml:space="preserve">ere della nostra letteratura, al tono di </w:t>
      </w:r>
      <w:r w:rsidR="009023D4" w:rsidRPr="00D9468C">
        <w:rPr>
          <w:rFonts w:ascii="Times New Roman" w:hAnsi="Times New Roman" w:cs="Times New Roman"/>
          <w:sz w:val="24"/>
          <w:szCs w:val="24"/>
        </w:rPr>
        <w:t xml:space="preserve">una Principessa de </w:t>
      </w:r>
      <w:proofErr w:type="spellStart"/>
      <w:r w:rsidR="009023D4" w:rsidRPr="00D9468C">
        <w:rPr>
          <w:rFonts w:ascii="Times New Roman" w:hAnsi="Times New Roman" w:cs="Times New Roman"/>
          <w:sz w:val="24"/>
          <w:szCs w:val="24"/>
        </w:rPr>
        <w:t>Clèves</w:t>
      </w:r>
      <w:proofErr w:type="spellEnd"/>
      <w:r w:rsidR="009023D4" w:rsidRPr="00D9468C">
        <w:rPr>
          <w:rFonts w:ascii="Times New Roman" w:hAnsi="Times New Roman" w:cs="Times New Roman"/>
          <w:sz w:val="24"/>
          <w:szCs w:val="24"/>
        </w:rPr>
        <w:t xml:space="preserve"> in preda a un bavaglio infernale. Se questa volta Freud non è riuscito a muovere l’</w:t>
      </w:r>
      <w:proofErr w:type="spellStart"/>
      <w:r w:rsidR="009023D4" w:rsidRPr="00D9468C">
        <w:rPr>
          <w:rFonts w:ascii="Times New Roman" w:hAnsi="Times New Roman" w:cs="Times New Roman"/>
          <w:sz w:val="24"/>
          <w:szCs w:val="24"/>
        </w:rPr>
        <w:t>Acheronta</w:t>
      </w:r>
      <w:proofErr w:type="spellEnd"/>
      <w:r w:rsidR="009023D4" w:rsidRPr="00D9468C">
        <w:rPr>
          <w:rFonts w:ascii="Times New Roman" w:hAnsi="Times New Roman" w:cs="Times New Roman"/>
          <w:sz w:val="24"/>
          <w:szCs w:val="24"/>
        </w:rPr>
        <w:t xml:space="preserve">, è perché s’è messo un po’ troppo al posto del signor K… Freud a motivo del suo contro-transfert, torna troppo costantemente sull’amore che il signor K… ispirerebbe a Dora, ed è singolare vedere come interpreti sempre nel senso della confessione le </w:t>
      </w:r>
      <w:proofErr w:type="gramStart"/>
      <w:r w:rsidR="009023D4" w:rsidRPr="00D9468C">
        <w:rPr>
          <w:rFonts w:ascii="Times New Roman" w:hAnsi="Times New Roman" w:cs="Times New Roman"/>
          <w:sz w:val="24"/>
          <w:szCs w:val="24"/>
        </w:rPr>
        <w:t>risposte peraltro</w:t>
      </w:r>
      <w:proofErr w:type="gramEnd"/>
      <w:r w:rsidR="009023D4" w:rsidRPr="00D9468C">
        <w:rPr>
          <w:rFonts w:ascii="Times New Roman" w:hAnsi="Times New Roman" w:cs="Times New Roman"/>
          <w:sz w:val="24"/>
          <w:szCs w:val="24"/>
        </w:rPr>
        <w:t xml:space="preserve"> ass</w:t>
      </w:r>
      <w:r w:rsidR="005C254E" w:rsidRPr="00D9468C">
        <w:rPr>
          <w:rFonts w:ascii="Times New Roman" w:hAnsi="Times New Roman" w:cs="Times New Roman"/>
          <w:sz w:val="24"/>
          <w:szCs w:val="24"/>
        </w:rPr>
        <w:t>ai varie oppostegli da Dora.</w:t>
      </w:r>
    </w:p>
    <w:p w14:paraId="38115890" w14:textId="77777777" w:rsidR="004F4328" w:rsidRDefault="004F4328" w:rsidP="009505CD">
      <w:pPr>
        <w:spacing w:after="0" w:line="360" w:lineRule="auto"/>
        <w:jc w:val="both"/>
        <w:rPr>
          <w:rFonts w:ascii="Times New Roman" w:hAnsi="Times New Roman" w:cs="Times New Roman"/>
          <w:sz w:val="24"/>
          <w:szCs w:val="24"/>
        </w:rPr>
      </w:pPr>
    </w:p>
    <w:p w14:paraId="469B4AFE" w14:textId="154A659D" w:rsidR="004F4328" w:rsidRDefault="005C254E" w:rsidP="009505CD">
      <w:pPr>
        <w:spacing w:after="0" w:line="360" w:lineRule="auto"/>
        <w:jc w:val="both"/>
        <w:rPr>
          <w:rFonts w:ascii="Times New Roman" w:hAnsi="Times New Roman" w:cs="Times New Roman"/>
          <w:sz w:val="24"/>
          <w:szCs w:val="24"/>
        </w:rPr>
      </w:pPr>
      <w:r w:rsidRPr="00D9468C">
        <w:rPr>
          <w:rFonts w:ascii="Times New Roman" w:hAnsi="Times New Roman" w:cs="Times New Roman"/>
          <w:sz w:val="24"/>
          <w:szCs w:val="24"/>
        </w:rPr>
        <w:t>Sappiamo come si concluderà la relazione di cura: Dora lo congeda</w:t>
      </w:r>
      <w:r w:rsidR="009023D4" w:rsidRPr="00D9468C">
        <w:rPr>
          <w:rFonts w:ascii="Times New Roman" w:hAnsi="Times New Roman" w:cs="Times New Roman"/>
          <w:sz w:val="24"/>
          <w:szCs w:val="24"/>
        </w:rPr>
        <w:t xml:space="preserve">. </w:t>
      </w:r>
      <w:r w:rsidR="00487D4F" w:rsidRPr="00D9468C">
        <w:rPr>
          <w:rFonts w:ascii="Times New Roman" w:hAnsi="Times New Roman" w:cs="Times New Roman"/>
          <w:sz w:val="24"/>
          <w:szCs w:val="24"/>
        </w:rPr>
        <w:t>Come mette ben in evidenza Lacan in questo testo,</w:t>
      </w:r>
      <w:r w:rsidR="004F4328">
        <w:rPr>
          <w:rFonts w:ascii="Times New Roman" w:hAnsi="Times New Roman" w:cs="Times New Roman"/>
          <w:sz w:val="24"/>
          <w:szCs w:val="24"/>
        </w:rPr>
        <w:t xml:space="preserve"> «</w:t>
      </w:r>
      <w:r w:rsidR="00487D4F" w:rsidRPr="00D9468C">
        <w:rPr>
          <w:rFonts w:ascii="Times New Roman" w:hAnsi="Times New Roman" w:cs="Times New Roman"/>
          <w:sz w:val="24"/>
          <w:szCs w:val="24"/>
        </w:rPr>
        <w:t>[…] il transfert non è nulla di reale nel soggetto, se non l’apparizione, a un certo momento di stagnazione della dialettica analitica, dei modi permanenti secondo i quali esso costituisce i propri oggetti</w:t>
      </w:r>
      <w:r w:rsidR="004F4328">
        <w:rPr>
          <w:rFonts w:ascii="Times New Roman" w:hAnsi="Times New Roman" w:cs="Times New Roman"/>
          <w:sz w:val="24"/>
          <w:szCs w:val="24"/>
        </w:rPr>
        <w:t>»</w:t>
      </w:r>
      <w:r w:rsidR="00BF390D">
        <w:rPr>
          <w:rStyle w:val="Rimandonotaapidipagina"/>
          <w:rFonts w:ascii="Times New Roman" w:hAnsi="Times New Roman" w:cs="Times New Roman"/>
          <w:sz w:val="24"/>
          <w:szCs w:val="24"/>
        </w:rPr>
        <w:footnoteReference w:id="6"/>
      </w:r>
      <w:r w:rsidR="00531D0B" w:rsidRPr="00D9468C">
        <w:rPr>
          <w:rFonts w:ascii="Times New Roman" w:hAnsi="Times New Roman" w:cs="Times New Roman"/>
          <w:sz w:val="24"/>
          <w:szCs w:val="24"/>
        </w:rPr>
        <w:t>.</w:t>
      </w:r>
      <w:r w:rsidR="00982977" w:rsidRPr="00D9468C">
        <w:rPr>
          <w:rFonts w:ascii="Times New Roman" w:hAnsi="Times New Roman" w:cs="Times New Roman"/>
          <w:sz w:val="24"/>
          <w:szCs w:val="24"/>
        </w:rPr>
        <w:t xml:space="preserve"> Lacan ci dice due cose importanti, che in primis devono funzionare da memento per gli analisti: la prima che non è nulla di reale del soggetto e la seconda, che è fondamentale per non agevolarne il suo movimento di avviluppamento e chiusura, è</w:t>
      </w:r>
      <w:r w:rsidR="00CB1D04" w:rsidRPr="00D9468C">
        <w:rPr>
          <w:rFonts w:ascii="Times New Roman" w:hAnsi="Times New Roman" w:cs="Times New Roman"/>
          <w:sz w:val="24"/>
          <w:szCs w:val="24"/>
        </w:rPr>
        <w:t xml:space="preserve"> che lo si deve intendere come</w:t>
      </w:r>
      <w:r w:rsidR="00982977" w:rsidRPr="00D9468C">
        <w:rPr>
          <w:rFonts w:ascii="Times New Roman" w:hAnsi="Times New Roman" w:cs="Times New Roman"/>
          <w:sz w:val="24"/>
          <w:szCs w:val="24"/>
        </w:rPr>
        <w:t xml:space="preserve"> </w:t>
      </w:r>
      <w:r w:rsidR="004F4328">
        <w:rPr>
          <w:rFonts w:ascii="Times New Roman" w:hAnsi="Times New Roman" w:cs="Times New Roman"/>
          <w:sz w:val="24"/>
          <w:szCs w:val="24"/>
        </w:rPr>
        <w:t xml:space="preserve">«[…] </w:t>
      </w:r>
      <w:r w:rsidR="00982977" w:rsidRPr="00D9468C">
        <w:rPr>
          <w:rFonts w:ascii="Times New Roman" w:hAnsi="Times New Roman" w:cs="Times New Roman"/>
          <w:sz w:val="24"/>
          <w:szCs w:val="24"/>
        </w:rPr>
        <w:t>l’apparizione, a un certo momento di stagnazione della dialettica analitica, dei modi permanenti secondo i quali esso – ossia il soggetto – costituisce i propri oggetti</w:t>
      </w:r>
      <w:r w:rsidR="004F4328">
        <w:rPr>
          <w:rFonts w:ascii="Times New Roman" w:hAnsi="Times New Roman" w:cs="Times New Roman"/>
          <w:sz w:val="24"/>
          <w:szCs w:val="24"/>
        </w:rPr>
        <w:t>»</w:t>
      </w:r>
      <w:r w:rsidR="004F4328">
        <w:rPr>
          <w:rStyle w:val="Rimandonotaapidipagina"/>
          <w:rFonts w:ascii="Times New Roman" w:hAnsi="Times New Roman" w:cs="Times New Roman"/>
          <w:sz w:val="24"/>
          <w:szCs w:val="24"/>
        </w:rPr>
        <w:footnoteReference w:id="7"/>
      </w:r>
      <w:r w:rsidR="00982977" w:rsidRPr="00D9468C">
        <w:rPr>
          <w:rFonts w:ascii="Times New Roman" w:hAnsi="Times New Roman" w:cs="Times New Roman"/>
          <w:sz w:val="24"/>
          <w:szCs w:val="24"/>
        </w:rPr>
        <w:t>.</w:t>
      </w:r>
    </w:p>
    <w:p w14:paraId="70E961C9" w14:textId="77777777" w:rsidR="004F4328" w:rsidRDefault="004F4328" w:rsidP="009505CD">
      <w:pPr>
        <w:spacing w:after="0" w:line="360" w:lineRule="auto"/>
        <w:jc w:val="both"/>
        <w:rPr>
          <w:rFonts w:ascii="Times New Roman" w:hAnsi="Times New Roman" w:cs="Times New Roman"/>
          <w:sz w:val="24"/>
          <w:szCs w:val="24"/>
        </w:rPr>
      </w:pPr>
    </w:p>
    <w:p w14:paraId="330CBF00" w14:textId="0E8A3D23" w:rsidR="00531D0B" w:rsidRPr="00D9468C" w:rsidRDefault="00982977" w:rsidP="009505CD">
      <w:pPr>
        <w:spacing w:after="0" w:line="360" w:lineRule="auto"/>
        <w:jc w:val="both"/>
        <w:rPr>
          <w:rFonts w:ascii="Times New Roman" w:hAnsi="Times New Roman" w:cs="Times New Roman"/>
          <w:sz w:val="24"/>
          <w:szCs w:val="24"/>
        </w:rPr>
      </w:pPr>
      <w:r w:rsidRPr="00D9468C">
        <w:rPr>
          <w:rFonts w:ascii="Times New Roman" w:hAnsi="Times New Roman" w:cs="Times New Roman"/>
          <w:sz w:val="24"/>
          <w:szCs w:val="24"/>
        </w:rPr>
        <w:t>Il soggetto dunque si rivolge all’Altro</w:t>
      </w:r>
      <w:r w:rsidR="00FD4C38" w:rsidRPr="00D9468C">
        <w:rPr>
          <w:rFonts w:ascii="Times New Roman" w:hAnsi="Times New Roman" w:cs="Times New Roman"/>
          <w:sz w:val="24"/>
          <w:szCs w:val="24"/>
        </w:rPr>
        <w:t xml:space="preserve"> anticipando, per così dire, gli oggetti che gli fanno da complemento, potremmo dire sovrapponendogli la sua realtà fantasmatica, ed è proprio su questo punto che l’intervento dell’analista deve riuscire ad operare in modo tale da lasciare cadere l’aspetto </w:t>
      </w:r>
      <w:r w:rsidR="00FD4C38" w:rsidRPr="00D9468C">
        <w:rPr>
          <w:rFonts w:ascii="Times New Roman" w:hAnsi="Times New Roman" w:cs="Times New Roman"/>
          <w:sz w:val="24"/>
          <w:szCs w:val="24"/>
        </w:rPr>
        <w:lastRenderedPageBreak/>
        <w:t>immaginario del processo per indirizzarlo piuttosto, seguendone il vettore simbolico, nella direzione che permetta al soggetto di compiere un ulteriore giro nell’articolazione della verità che lo concerne.</w:t>
      </w:r>
      <w:r w:rsidRPr="00D9468C">
        <w:rPr>
          <w:rFonts w:ascii="Times New Roman" w:hAnsi="Times New Roman" w:cs="Times New Roman"/>
          <w:sz w:val="24"/>
          <w:szCs w:val="24"/>
        </w:rPr>
        <w:t xml:space="preserve"> </w:t>
      </w:r>
      <w:r w:rsidR="00FD4C38" w:rsidRPr="00D9468C">
        <w:rPr>
          <w:rFonts w:ascii="Times New Roman" w:hAnsi="Times New Roman" w:cs="Times New Roman"/>
          <w:sz w:val="24"/>
          <w:szCs w:val="24"/>
        </w:rPr>
        <w:t>Come non prendersi dunque per l’oggetto a cui è indirizzato l’amore, chiudendo il movimento dialettico di compimento del soggetto, ma piuttosto operare affinché l’amore possa piuttosto farsi motore</w:t>
      </w:r>
      <w:r w:rsidR="00FF31CD" w:rsidRPr="00D9468C">
        <w:rPr>
          <w:rFonts w:ascii="Times New Roman" w:hAnsi="Times New Roman" w:cs="Times New Roman"/>
          <w:sz w:val="24"/>
          <w:szCs w:val="24"/>
        </w:rPr>
        <w:t xml:space="preserve"> per l’incontro essenziale, nonché da sempre perduto, con l’oggetto, matrice di tutte le identificazioni? </w:t>
      </w:r>
      <w:r w:rsidR="001C5FF6" w:rsidRPr="00D9468C">
        <w:rPr>
          <w:rFonts w:ascii="Times New Roman" w:hAnsi="Times New Roman" w:cs="Times New Roman"/>
          <w:sz w:val="24"/>
          <w:szCs w:val="24"/>
        </w:rPr>
        <w:t xml:space="preserve">Da dove opera l’analista per sostenere quel movimento che Lacan ha definito, come ho citato prima, </w:t>
      </w:r>
      <w:r w:rsidR="004F4328">
        <w:rPr>
          <w:rFonts w:ascii="Times New Roman" w:hAnsi="Times New Roman" w:cs="Times New Roman"/>
          <w:sz w:val="24"/>
          <w:szCs w:val="24"/>
        </w:rPr>
        <w:t>«</w:t>
      </w:r>
      <w:r w:rsidR="001C5FF6" w:rsidRPr="00D9468C">
        <w:rPr>
          <w:rFonts w:ascii="Times New Roman" w:hAnsi="Times New Roman" w:cs="Times New Roman"/>
          <w:sz w:val="24"/>
          <w:szCs w:val="24"/>
        </w:rPr>
        <w:t>tutto il suo sviluppo di transfert</w:t>
      </w:r>
      <w:r w:rsidR="004F4328">
        <w:rPr>
          <w:rFonts w:ascii="Times New Roman" w:hAnsi="Times New Roman" w:cs="Times New Roman"/>
          <w:sz w:val="24"/>
          <w:szCs w:val="24"/>
        </w:rPr>
        <w:t>»</w:t>
      </w:r>
      <w:r w:rsidR="004F4328">
        <w:rPr>
          <w:rStyle w:val="Rimandonotaapidipagina"/>
          <w:rFonts w:ascii="Times New Roman" w:hAnsi="Times New Roman" w:cs="Times New Roman"/>
          <w:sz w:val="24"/>
          <w:szCs w:val="24"/>
        </w:rPr>
        <w:footnoteReference w:id="8"/>
      </w:r>
      <w:r w:rsidR="001C5FF6" w:rsidRPr="00D9468C">
        <w:rPr>
          <w:rFonts w:ascii="Times New Roman" w:hAnsi="Times New Roman" w:cs="Times New Roman"/>
          <w:sz w:val="24"/>
          <w:szCs w:val="24"/>
        </w:rPr>
        <w:t>, fino alla sua logica caduta? Di che amore si può trattare dal lato della funzione analitica, se così si può dire, se non di quello che non indietreggia dinanzi al buco lasciato dall’</w:t>
      </w:r>
      <w:r w:rsidR="00F940B9" w:rsidRPr="00D9468C">
        <w:rPr>
          <w:rFonts w:ascii="Times New Roman" w:hAnsi="Times New Roman" w:cs="Times New Roman"/>
          <w:sz w:val="24"/>
          <w:szCs w:val="24"/>
        </w:rPr>
        <w:t>oggetto da sempre perduto? Forse lo si potrebbe dire a</w:t>
      </w:r>
      <w:r w:rsidR="001C5FF6" w:rsidRPr="00D9468C">
        <w:rPr>
          <w:rFonts w:ascii="Times New Roman" w:hAnsi="Times New Roman" w:cs="Times New Roman"/>
          <w:sz w:val="24"/>
          <w:szCs w:val="24"/>
        </w:rPr>
        <w:t>mo</w:t>
      </w:r>
      <w:r w:rsidR="00F940B9" w:rsidRPr="00D9468C">
        <w:rPr>
          <w:rFonts w:ascii="Times New Roman" w:hAnsi="Times New Roman" w:cs="Times New Roman"/>
          <w:sz w:val="24"/>
          <w:szCs w:val="24"/>
        </w:rPr>
        <w:t>re di sembianza per sostenere i necessari</w:t>
      </w:r>
      <w:r w:rsidR="001C5FF6" w:rsidRPr="00D9468C">
        <w:rPr>
          <w:rFonts w:ascii="Times New Roman" w:hAnsi="Times New Roman" w:cs="Times New Roman"/>
          <w:sz w:val="24"/>
          <w:szCs w:val="24"/>
        </w:rPr>
        <w:t xml:space="preserve"> giri, amore di reale </w:t>
      </w:r>
      <w:r w:rsidR="00F940B9" w:rsidRPr="00D9468C">
        <w:rPr>
          <w:rFonts w:ascii="Times New Roman" w:hAnsi="Times New Roman" w:cs="Times New Roman"/>
          <w:sz w:val="24"/>
          <w:szCs w:val="24"/>
        </w:rPr>
        <w:t>per lasciarsi far cadere al termine del processo.</w:t>
      </w:r>
      <w:r w:rsidR="00AD7ACA" w:rsidRPr="00D9468C">
        <w:rPr>
          <w:rFonts w:ascii="Times New Roman" w:hAnsi="Times New Roman" w:cs="Times New Roman"/>
          <w:sz w:val="24"/>
          <w:szCs w:val="24"/>
        </w:rPr>
        <w:t xml:space="preserve"> Ma di certo non un amore volto al bene dell’altro oppure a sostegno del proprio narcisismo, cosa che d’altronde l’amore in qualche modo sempre veicola, pur passando dall’altro. Un amore che piuttosto include anche la dimensione dell’odio, che </w:t>
      </w:r>
      <w:proofErr w:type="gramStart"/>
      <w:r w:rsidR="00AD7ACA" w:rsidRPr="00D9468C">
        <w:rPr>
          <w:rFonts w:ascii="Times New Roman" w:hAnsi="Times New Roman" w:cs="Times New Roman"/>
          <w:sz w:val="24"/>
          <w:szCs w:val="24"/>
        </w:rPr>
        <w:t>mano</w:t>
      </w:r>
      <w:proofErr w:type="gramEnd"/>
      <w:r w:rsidR="00AD7ACA" w:rsidRPr="00D9468C">
        <w:rPr>
          <w:rFonts w:ascii="Times New Roman" w:hAnsi="Times New Roman" w:cs="Times New Roman"/>
          <w:sz w:val="24"/>
          <w:szCs w:val="24"/>
        </w:rPr>
        <w:t xml:space="preserve"> a mano può rivelarsi, quando il reale che ci riguarda comincia a spogliarsi dei suoi orpelli, compare nella sua reiterazione ed è indifferente al sapere. Un amore che ha fatto la prova dell’odio, dell’odio per il proprio peggio e l’inevitabile solitudine a cui questo avvicina, ma che proprio per questo può accompagnare l’altro e sostenerlo nel suo percorso verso questo punto, di orrore di sapere.</w:t>
      </w:r>
    </w:p>
    <w:p w14:paraId="0B0839D8" w14:textId="77777777" w:rsidR="00531D0B" w:rsidRPr="00D9468C" w:rsidRDefault="00531D0B" w:rsidP="009505CD">
      <w:pPr>
        <w:spacing w:after="0" w:line="360" w:lineRule="auto"/>
        <w:jc w:val="both"/>
        <w:rPr>
          <w:rFonts w:ascii="Times New Roman" w:hAnsi="Times New Roman" w:cs="Times New Roman"/>
          <w:sz w:val="24"/>
          <w:szCs w:val="24"/>
        </w:rPr>
      </w:pPr>
    </w:p>
    <w:p w14:paraId="559FDAF3" w14:textId="77777777" w:rsidR="00531D0B" w:rsidRPr="00D9468C" w:rsidRDefault="00531D0B" w:rsidP="009505CD">
      <w:pPr>
        <w:spacing w:after="0" w:line="360" w:lineRule="auto"/>
        <w:jc w:val="both"/>
        <w:rPr>
          <w:rFonts w:ascii="Times New Roman" w:hAnsi="Times New Roman" w:cs="Times New Roman"/>
          <w:sz w:val="24"/>
          <w:szCs w:val="24"/>
        </w:rPr>
      </w:pPr>
    </w:p>
    <w:p w14:paraId="709F810E" w14:textId="77777777" w:rsidR="00960C27" w:rsidRPr="00D9468C" w:rsidRDefault="00960C27" w:rsidP="009505CD">
      <w:pPr>
        <w:spacing w:after="0" w:line="360" w:lineRule="auto"/>
        <w:jc w:val="both"/>
        <w:rPr>
          <w:rFonts w:ascii="Times New Roman" w:hAnsi="Times New Roman" w:cs="Times New Roman"/>
          <w:sz w:val="24"/>
          <w:szCs w:val="24"/>
        </w:rPr>
      </w:pPr>
    </w:p>
    <w:sectPr w:rsidR="00960C27" w:rsidRPr="00D9468C" w:rsidSect="00606A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6760" w14:textId="77777777" w:rsidR="00E401AC" w:rsidRDefault="00E401AC" w:rsidP="00D9468C">
      <w:pPr>
        <w:spacing w:after="0" w:line="240" w:lineRule="auto"/>
      </w:pPr>
      <w:r>
        <w:separator/>
      </w:r>
    </w:p>
  </w:endnote>
  <w:endnote w:type="continuationSeparator" w:id="0">
    <w:p w14:paraId="3AFEEE45" w14:textId="77777777" w:rsidR="00E401AC" w:rsidRDefault="00E401AC" w:rsidP="00D9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DE59" w14:textId="77777777" w:rsidR="00E401AC" w:rsidRDefault="00E401AC" w:rsidP="00D9468C">
      <w:pPr>
        <w:spacing w:after="0" w:line="240" w:lineRule="auto"/>
      </w:pPr>
      <w:r>
        <w:separator/>
      </w:r>
    </w:p>
  </w:footnote>
  <w:footnote w:type="continuationSeparator" w:id="0">
    <w:p w14:paraId="060A558A" w14:textId="77777777" w:rsidR="00E401AC" w:rsidRDefault="00E401AC" w:rsidP="00D9468C">
      <w:pPr>
        <w:spacing w:after="0" w:line="240" w:lineRule="auto"/>
      </w:pPr>
      <w:r>
        <w:continuationSeparator/>
      </w:r>
    </w:p>
  </w:footnote>
  <w:footnote w:id="1">
    <w:p w14:paraId="0988B0DE" w14:textId="5691B889" w:rsidR="00D9468C" w:rsidRPr="004F4328" w:rsidRDefault="00D9468C">
      <w:pPr>
        <w:pStyle w:val="Testonotaapidipagina"/>
        <w:rPr>
          <w:rFonts w:ascii="Times New Roman" w:hAnsi="Times New Roman" w:cs="Times New Roman"/>
        </w:rPr>
      </w:pPr>
      <w:r w:rsidRPr="004F4328">
        <w:rPr>
          <w:rStyle w:val="Rimandonotaapidipagina"/>
          <w:rFonts w:ascii="Times New Roman" w:hAnsi="Times New Roman" w:cs="Times New Roman"/>
        </w:rPr>
        <w:footnoteRef/>
      </w:r>
      <w:r w:rsidRPr="004F4328">
        <w:rPr>
          <w:rFonts w:ascii="Times New Roman" w:hAnsi="Times New Roman" w:cs="Times New Roman"/>
        </w:rPr>
        <w:t xml:space="preserve"> </w:t>
      </w:r>
      <w:proofErr w:type="spellStart"/>
      <w:r w:rsidRPr="004F4328">
        <w:rPr>
          <w:rFonts w:ascii="Times New Roman" w:hAnsi="Times New Roman" w:cs="Times New Roman"/>
          <w:smallCaps/>
        </w:rPr>
        <w:t>sigmund</w:t>
      </w:r>
      <w:proofErr w:type="spellEnd"/>
      <w:r w:rsidRPr="004F4328">
        <w:rPr>
          <w:rFonts w:ascii="Times New Roman" w:hAnsi="Times New Roman" w:cs="Times New Roman"/>
          <w:smallCaps/>
        </w:rPr>
        <w:t xml:space="preserve"> </w:t>
      </w:r>
      <w:proofErr w:type="spellStart"/>
      <w:r w:rsidRPr="004F4328">
        <w:rPr>
          <w:rFonts w:ascii="Times New Roman" w:hAnsi="Times New Roman" w:cs="Times New Roman"/>
          <w:smallCaps/>
        </w:rPr>
        <w:t>freud</w:t>
      </w:r>
      <w:proofErr w:type="spellEnd"/>
      <w:r w:rsidRPr="004F4328">
        <w:rPr>
          <w:rFonts w:ascii="Times New Roman" w:hAnsi="Times New Roman" w:cs="Times New Roman"/>
        </w:rPr>
        <w:t xml:space="preserve">, </w:t>
      </w:r>
      <w:r w:rsidRPr="004F4328">
        <w:rPr>
          <w:rFonts w:ascii="Times New Roman" w:hAnsi="Times New Roman" w:cs="Times New Roman"/>
          <w:i/>
          <w:iCs/>
        </w:rPr>
        <w:t>Studi sull’isteria</w:t>
      </w:r>
      <w:r w:rsidRPr="004F4328">
        <w:rPr>
          <w:rFonts w:ascii="Times New Roman" w:hAnsi="Times New Roman" w:cs="Times New Roman"/>
        </w:rPr>
        <w:t xml:space="preserve"> (1892-1895), in </w:t>
      </w:r>
      <w:r w:rsidRPr="004F4328">
        <w:rPr>
          <w:rFonts w:ascii="Times New Roman" w:hAnsi="Times New Roman" w:cs="Times New Roman"/>
          <w:i/>
          <w:iCs/>
        </w:rPr>
        <w:t xml:space="preserve">Opere, </w:t>
      </w:r>
      <w:r w:rsidRPr="004F4328">
        <w:rPr>
          <w:rFonts w:ascii="Times New Roman" w:hAnsi="Times New Roman" w:cs="Times New Roman"/>
        </w:rPr>
        <w:t xml:space="preserve">Bollati </w:t>
      </w:r>
      <w:proofErr w:type="spellStart"/>
      <w:r w:rsidRPr="004F4328">
        <w:rPr>
          <w:rFonts w:ascii="Times New Roman" w:hAnsi="Times New Roman" w:cs="Times New Roman"/>
        </w:rPr>
        <w:t>Boringhieri</w:t>
      </w:r>
      <w:proofErr w:type="spellEnd"/>
      <w:r w:rsidRPr="004F4328">
        <w:rPr>
          <w:rFonts w:ascii="Times New Roman" w:hAnsi="Times New Roman" w:cs="Times New Roman"/>
        </w:rPr>
        <w:t>, Torino 196</w:t>
      </w:r>
      <w:r w:rsidR="004F4328" w:rsidRPr="004F4328">
        <w:rPr>
          <w:rFonts w:ascii="Times New Roman" w:hAnsi="Times New Roman" w:cs="Times New Roman"/>
        </w:rPr>
        <w:t>9</w:t>
      </w:r>
      <w:r w:rsidRPr="004F4328">
        <w:rPr>
          <w:rFonts w:ascii="Times New Roman" w:hAnsi="Times New Roman" w:cs="Times New Roman"/>
        </w:rPr>
        <w:t>, vol. 1.</w:t>
      </w:r>
    </w:p>
  </w:footnote>
  <w:footnote w:id="2">
    <w:p w14:paraId="3DACEF92" w14:textId="54E614A0" w:rsidR="004F4328" w:rsidRDefault="004F4328">
      <w:pPr>
        <w:pStyle w:val="Testonotaapidipagina"/>
      </w:pPr>
      <w:r w:rsidRPr="004F4328">
        <w:rPr>
          <w:rStyle w:val="Rimandonotaapidipagina"/>
          <w:rFonts w:ascii="Times New Roman" w:hAnsi="Times New Roman" w:cs="Times New Roman"/>
        </w:rPr>
        <w:footnoteRef/>
      </w:r>
      <w:r w:rsidRPr="004F4328">
        <w:rPr>
          <w:rFonts w:ascii="Times New Roman" w:hAnsi="Times New Roman" w:cs="Times New Roman"/>
        </w:rPr>
        <w:t xml:space="preserve"> </w:t>
      </w:r>
      <w:proofErr w:type="spellStart"/>
      <w:r w:rsidR="00F05CAC">
        <w:rPr>
          <w:rFonts w:ascii="Times New Roman" w:hAnsi="Times New Roman" w:cs="Times New Roman"/>
          <w:smallCaps/>
        </w:rPr>
        <w:t>platone</w:t>
      </w:r>
      <w:proofErr w:type="spellEnd"/>
      <w:r w:rsidR="00F05CAC">
        <w:rPr>
          <w:rFonts w:ascii="Times New Roman" w:hAnsi="Times New Roman" w:cs="Times New Roman"/>
        </w:rPr>
        <w:t xml:space="preserve">, </w:t>
      </w:r>
      <w:r w:rsidR="00F05CAC">
        <w:rPr>
          <w:rFonts w:ascii="Times New Roman" w:hAnsi="Times New Roman" w:cs="Times New Roman"/>
          <w:i/>
          <w:iCs/>
        </w:rPr>
        <w:t>Convito</w:t>
      </w:r>
      <w:r w:rsidR="00F05CAC">
        <w:rPr>
          <w:rFonts w:ascii="Times New Roman" w:hAnsi="Times New Roman" w:cs="Times New Roman"/>
        </w:rPr>
        <w:t xml:space="preserve">, Garzanti, Milano 2001, pp. 13-14. </w:t>
      </w:r>
    </w:p>
  </w:footnote>
  <w:footnote w:id="3">
    <w:p w14:paraId="1D579643" w14:textId="3128BD72" w:rsidR="00F05CAC" w:rsidRPr="00AE42DA" w:rsidRDefault="00F05CAC" w:rsidP="00F05CAC">
      <w:pPr>
        <w:pStyle w:val="Testonotaapidipagina"/>
        <w:rPr>
          <w:rFonts w:ascii="Times New Roman" w:hAnsi="Times New Roman" w:cs="Times New Roman"/>
        </w:rPr>
      </w:pPr>
      <w:r>
        <w:rPr>
          <w:rStyle w:val="Rimandonotaapidipagina"/>
        </w:rPr>
        <w:footnoteRef/>
      </w:r>
      <w:r>
        <w:t xml:space="preserve"> </w:t>
      </w:r>
      <w:bookmarkStart w:id="0" w:name="OLE_LINK8"/>
      <w:proofErr w:type="spellStart"/>
      <w:r>
        <w:rPr>
          <w:smallCaps/>
        </w:rPr>
        <w:t>jacques</w:t>
      </w:r>
      <w:proofErr w:type="spellEnd"/>
      <w:r>
        <w:rPr>
          <w:smallCaps/>
        </w:rPr>
        <w:t xml:space="preserve"> </w:t>
      </w:r>
      <w:proofErr w:type="spellStart"/>
      <w:r>
        <w:rPr>
          <w:smallCaps/>
        </w:rPr>
        <w:t>lacan</w:t>
      </w:r>
      <w:proofErr w:type="spellEnd"/>
      <w:r w:rsidRPr="00AE42DA">
        <w:rPr>
          <w:rFonts w:ascii="Times New Roman" w:hAnsi="Times New Roman" w:cs="Times New Roman"/>
        </w:rPr>
        <w:t xml:space="preserve">, </w:t>
      </w:r>
      <w:bookmarkStart w:id="1" w:name="OLE_LINK2"/>
      <w:r w:rsidRPr="00AE42DA">
        <w:rPr>
          <w:rFonts w:ascii="Times New Roman" w:hAnsi="Times New Roman" w:cs="Times New Roman"/>
          <w:i/>
        </w:rPr>
        <w:t>La direzione della cura e i principi del suo potere</w:t>
      </w:r>
      <w:r w:rsidRPr="00AE42DA">
        <w:rPr>
          <w:rFonts w:ascii="Times New Roman" w:hAnsi="Times New Roman" w:cs="Times New Roman"/>
        </w:rPr>
        <w:t xml:space="preserve"> (1958), in </w:t>
      </w:r>
      <w:r w:rsidRPr="00AE42DA">
        <w:rPr>
          <w:rFonts w:ascii="Times New Roman" w:hAnsi="Times New Roman" w:cs="Times New Roman"/>
          <w:i/>
        </w:rPr>
        <w:t>Scritti</w:t>
      </w:r>
      <w:r w:rsidRPr="00AE42DA">
        <w:rPr>
          <w:rFonts w:ascii="Times New Roman" w:hAnsi="Times New Roman" w:cs="Times New Roman"/>
        </w:rPr>
        <w:t>, vol. 2, Einaudi, Torino 1974</w:t>
      </w:r>
      <w:bookmarkEnd w:id="1"/>
      <w:r>
        <w:rPr>
          <w:rFonts w:ascii="Times New Roman" w:hAnsi="Times New Roman" w:cs="Times New Roman"/>
        </w:rPr>
        <w:t>, p. 591.</w:t>
      </w:r>
    </w:p>
    <w:bookmarkEnd w:id="0"/>
    <w:p w14:paraId="4B6A0DAE" w14:textId="442C4EB3" w:rsidR="00F05CAC" w:rsidRDefault="00F05CAC">
      <w:pPr>
        <w:pStyle w:val="Testonotaapidipagina"/>
      </w:pPr>
    </w:p>
  </w:footnote>
  <w:footnote w:id="4">
    <w:p w14:paraId="04AC30FB" w14:textId="49F4403B" w:rsidR="00CE381E" w:rsidRDefault="00CE381E">
      <w:pPr>
        <w:pStyle w:val="Testonotaapidipagina"/>
      </w:pPr>
      <w:r>
        <w:rPr>
          <w:rStyle w:val="Rimandonotaapidipagina"/>
        </w:rPr>
        <w:footnoteRef/>
      </w:r>
      <w:r>
        <w:t xml:space="preserve"> Ibidem, p. 592.</w:t>
      </w:r>
    </w:p>
  </w:footnote>
  <w:footnote w:id="5">
    <w:p w14:paraId="014A8D06" w14:textId="3F53793C" w:rsidR="004F4328" w:rsidRPr="00DA4079" w:rsidRDefault="004F4328">
      <w:pPr>
        <w:pStyle w:val="Testonotaapidipagina"/>
        <w:rPr>
          <w:rFonts w:ascii="Times New Roman" w:hAnsi="Times New Roman" w:cs="Times New Roman"/>
        </w:rPr>
      </w:pPr>
      <w:r>
        <w:rPr>
          <w:rStyle w:val="Rimandonotaapidipagina"/>
        </w:rPr>
        <w:footnoteRef/>
      </w:r>
      <w:r>
        <w:t xml:space="preserve"> </w:t>
      </w:r>
      <w:proofErr w:type="spellStart"/>
      <w:r w:rsidR="00CE381E">
        <w:rPr>
          <w:rFonts w:ascii="Times New Roman" w:hAnsi="Times New Roman" w:cs="Times New Roman"/>
          <w:smallCaps/>
        </w:rPr>
        <w:t>jacques</w:t>
      </w:r>
      <w:proofErr w:type="spellEnd"/>
      <w:r w:rsidR="00CE381E">
        <w:rPr>
          <w:rFonts w:ascii="Times New Roman" w:hAnsi="Times New Roman" w:cs="Times New Roman"/>
          <w:smallCaps/>
        </w:rPr>
        <w:t xml:space="preserve"> </w:t>
      </w:r>
      <w:proofErr w:type="spellStart"/>
      <w:r w:rsidR="00CE381E">
        <w:rPr>
          <w:rFonts w:ascii="Times New Roman" w:hAnsi="Times New Roman" w:cs="Times New Roman"/>
          <w:smallCaps/>
        </w:rPr>
        <w:t>lacan</w:t>
      </w:r>
      <w:proofErr w:type="spellEnd"/>
      <w:r w:rsidR="00CE381E" w:rsidRPr="00AE42DA">
        <w:rPr>
          <w:rFonts w:ascii="Times New Roman" w:hAnsi="Times New Roman" w:cs="Times New Roman"/>
        </w:rPr>
        <w:t xml:space="preserve">, </w:t>
      </w:r>
      <w:r w:rsidR="00CE381E">
        <w:rPr>
          <w:rFonts w:ascii="Times New Roman" w:hAnsi="Times New Roman" w:cs="Times New Roman"/>
          <w:i/>
        </w:rPr>
        <w:t>Intervento sul transfert</w:t>
      </w:r>
      <w:r w:rsidR="00CE381E" w:rsidRPr="00AE42DA">
        <w:rPr>
          <w:rFonts w:ascii="Times New Roman" w:hAnsi="Times New Roman" w:cs="Times New Roman"/>
        </w:rPr>
        <w:t xml:space="preserve"> (195</w:t>
      </w:r>
      <w:r w:rsidR="00CE381E">
        <w:rPr>
          <w:rFonts w:ascii="Times New Roman" w:hAnsi="Times New Roman" w:cs="Times New Roman"/>
        </w:rPr>
        <w:t>1</w:t>
      </w:r>
      <w:r w:rsidR="00CE381E" w:rsidRPr="00AE42DA">
        <w:rPr>
          <w:rFonts w:ascii="Times New Roman" w:hAnsi="Times New Roman" w:cs="Times New Roman"/>
        </w:rPr>
        <w:t xml:space="preserve">), in </w:t>
      </w:r>
      <w:r w:rsidR="00CE381E" w:rsidRPr="00AE42DA">
        <w:rPr>
          <w:rFonts w:ascii="Times New Roman" w:hAnsi="Times New Roman" w:cs="Times New Roman"/>
          <w:i/>
        </w:rPr>
        <w:t>Scritti</w:t>
      </w:r>
      <w:r w:rsidR="00CE381E" w:rsidRPr="00AE42DA">
        <w:rPr>
          <w:rFonts w:ascii="Times New Roman" w:hAnsi="Times New Roman" w:cs="Times New Roman"/>
        </w:rPr>
        <w:t xml:space="preserve">, vol. </w:t>
      </w:r>
      <w:r w:rsidR="00CE381E">
        <w:rPr>
          <w:rFonts w:ascii="Times New Roman" w:hAnsi="Times New Roman" w:cs="Times New Roman"/>
        </w:rPr>
        <w:t>1</w:t>
      </w:r>
      <w:r w:rsidR="00CE381E" w:rsidRPr="00AE42DA">
        <w:rPr>
          <w:rFonts w:ascii="Times New Roman" w:hAnsi="Times New Roman" w:cs="Times New Roman"/>
        </w:rPr>
        <w:t>, Einaudi, Torino 1974</w:t>
      </w:r>
      <w:r w:rsidR="00CE381E">
        <w:rPr>
          <w:rFonts w:ascii="Times New Roman" w:hAnsi="Times New Roman" w:cs="Times New Roman"/>
        </w:rPr>
        <w:t>, pp. 216-217.</w:t>
      </w:r>
    </w:p>
  </w:footnote>
  <w:footnote w:id="6">
    <w:p w14:paraId="4205A38E" w14:textId="32906E4A" w:rsidR="00BF390D" w:rsidRDefault="00BF390D">
      <w:pPr>
        <w:pStyle w:val="Testonotaapidipagina"/>
      </w:pPr>
      <w:r>
        <w:rPr>
          <w:rStyle w:val="Rimandonotaapidipagina"/>
        </w:rPr>
        <w:footnoteRef/>
      </w:r>
      <w:r>
        <w:t xml:space="preserve"> </w:t>
      </w:r>
      <w:r w:rsidR="00CE381E">
        <w:t>Ibidem, p. 218.</w:t>
      </w:r>
    </w:p>
  </w:footnote>
  <w:footnote w:id="7">
    <w:p w14:paraId="35290A4E" w14:textId="7E3C593C" w:rsidR="004F4328" w:rsidRDefault="004F4328">
      <w:pPr>
        <w:pStyle w:val="Testonotaapidipagina"/>
      </w:pPr>
      <w:r>
        <w:rPr>
          <w:rStyle w:val="Rimandonotaapidipagina"/>
        </w:rPr>
        <w:footnoteRef/>
      </w:r>
      <w:r>
        <w:t xml:space="preserve"> </w:t>
      </w:r>
      <w:r w:rsidR="00CE381E">
        <w:t>Ibidem.</w:t>
      </w:r>
    </w:p>
  </w:footnote>
  <w:footnote w:id="8">
    <w:p w14:paraId="06A53CB8" w14:textId="317C8587" w:rsidR="00CE381E" w:rsidRPr="00AE42DA" w:rsidRDefault="004F4328" w:rsidP="00CE381E">
      <w:pPr>
        <w:pStyle w:val="Testonotaapidipagina"/>
        <w:rPr>
          <w:rFonts w:ascii="Times New Roman" w:hAnsi="Times New Roman" w:cs="Times New Roman"/>
        </w:rPr>
      </w:pPr>
      <w:r>
        <w:rPr>
          <w:rStyle w:val="Rimandonotaapidipagina"/>
        </w:rPr>
        <w:footnoteRef/>
      </w:r>
      <w:r>
        <w:t xml:space="preserve"> </w:t>
      </w:r>
      <w:proofErr w:type="spellStart"/>
      <w:r w:rsidR="00CE381E">
        <w:rPr>
          <w:smallCaps/>
        </w:rPr>
        <w:t>jacques</w:t>
      </w:r>
      <w:proofErr w:type="spellEnd"/>
      <w:r w:rsidR="00CE381E">
        <w:rPr>
          <w:smallCaps/>
        </w:rPr>
        <w:t xml:space="preserve"> </w:t>
      </w:r>
      <w:proofErr w:type="spellStart"/>
      <w:r w:rsidR="00CE381E">
        <w:rPr>
          <w:smallCaps/>
        </w:rPr>
        <w:t>lacan</w:t>
      </w:r>
      <w:proofErr w:type="spellEnd"/>
      <w:r w:rsidR="00CE381E" w:rsidRPr="00AE42DA">
        <w:rPr>
          <w:rFonts w:ascii="Times New Roman" w:hAnsi="Times New Roman" w:cs="Times New Roman"/>
        </w:rPr>
        <w:t xml:space="preserve">, </w:t>
      </w:r>
      <w:r w:rsidR="00CE381E" w:rsidRPr="00AE42DA">
        <w:rPr>
          <w:rFonts w:ascii="Times New Roman" w:hAnsi="Times New Roman" w:cs="Times New Roman"/>
          <w:i/>
        </w:rPr>
        <w:t>La direzione della cura e i principi del suo potere</w:t>
      </w:r>
      <w:r w:rsidR="00CE381E" w:rsidRPr="00AE42DA">
        <w:rPr>
          <w:rFonts w:ascii="Times New Roman" w:hAnsi="Times New Roman" w:cs="Times New Roman"/>
        </w:rPr>
        <w:t>,</w:t>
      </w:r>
      <w:r w:rsidR="0097068F">
        <w:rPr>
          <w:rFonts w:ascii="Times New Roman" w:hAnsi="Times New Roman" w:cs="Times New Roman"/>
        </w:rPr>
        <w:t xml:space="preserve"> </w:t>
      </w:r>
      <w:r w:rsidR="00CE381E">
        <w:rPr>
          <w:rFonts w:ascii="Times New Roman" w:hAnsi="Times New Roman" w:cs="Times New Roman"/>
        </w:rPr>
        <w:t>cit., p. 592.</w:t>
      </w:r>
      <w:r w:rsidR="00CE381E" w:rsidRPr="00AE42DA">
        <w:rPr>
          <w:rFonts w:ascii="Times New Roman" w:hAnsi="Times New Roman" w:cs="Times New Roman"/>
        </w:rPr>
        <w:t xml:space="preserve"> </w:t>
      </w:r>
    </w:p>
    <w:p w14:paraId="53FFEA14" w14:textId="0C1722F5" w:rsidR="004F4328" w:rsidRDefault="004F432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461"/>
    <w:rsid w:val="00037F82"/>
    <w:rsid w:val="001024DC"/>
    <w:rsid w:val="00143538"/>
    <w:rsid w:val="001C5FF6"/>
    <w:rsid w:val="0027176D"/>
    <w:rsid w:val="002819F2"/>
    <w:rsid w:val="002A1C26"/>
    <w:rsid w:val="002C69DD"/>
    <w:rsid w:val="002F7790"/>
    <w:rsid w:val="00392696"/>
    <w:rsid w:val="003D6461"/>
    <w:rsid w:val="004317BF"/>
    <w:rsid w:val="00444B62"/>
    <w:rsid w:val="00487D4F"/>
    <w:rsid w:val="004F4328"/>
    <w:rsid w:val="00531D0B"/>
    <w:rsid w:val="005A7BF1"/>
    <w:rsid w:val="005C02A8"/>
    <w:rsid w:val="005C254E"/>
    <w:rsid w:val="005F1FD8"/>
    <w:rsid w:val="00606A02"/>
    <w:rsid w:val="00635CC4"/>
    <w:rsid w:val="00693D94"/>
    <w:rsid w:val="006F2FE0"/>
    <w:rsid w:val="00773F91"/>
    <w:rsid w:val="00787758"/>
    <w:rsid w:val="007A1B2C"/>
    <w:rsid w:val="007C3D73"/>
    <w:rsid w:val="008F105F"/>
    <w:rsid w:val="009023D4"/>
    <w:rsid w:val="009505CD"/>
    <w:rsid w:val="00960C27"/>
    <w:rsid w:val="0097068F"/>
    <w:rsid w:val="00977BF3"/>
    <w:rsid w:val="00982977"/>
    <w:rsid w:val="009C4B0C"/>
    <w:rsid w:val="009D2517"/>
    <w:rsid w:val="00AD7ACA"/>
    <w:rsid w:val="00BF390D"/>
    <w:rsid w:val="00CB1D04"/>
    <w:rsid w:val="00CE381E"/>
    <w:rsid w:val="00D33BEB"/>
    <w:rsid w:val="00D9468C"/>
    <w:rsid w:val="00DA4079"/>
    <w:rsid w:val="00DC4F34"/>
    <w:rsid w:val="00DC5D81"/>
    <w:rsid w:val="00E1734B"/>
    <w:rsid w:val="00E401AC"/>
    <w:rsid w:val="00E7317A"/>
    <w:rsid w:val="00EE6FE0"/>
    <w:rsid w:val="00F05CAC"/>
    <w:rsid w:val="00F55D22"/>
    <w:rsid w:val="00F940B9"/>
    <w:rsid w:val="00FD4C38"/>
    <w:rsid w:val="00FF31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D478"/>
  <w15:docId w15:val="{69CEE9BD-08E3-40E5-AF1B-A002E1E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D2517"/>
    <w:rPr>
      <w:color w:val="0000FF"/>
      <w:u w:val="single"/>
    </w:rPr>
  </w:style>
  <w:style w:type="paragraph" w:styleId="Testonotaapidipagina">
    <w:name w:val="footnote text"/>
    <w:basedOn w:val="Normale"/>
    <w:link w:val="TestonotaapidipaginaCarattere"/>
    <w:uiPriority w:val="99"/>
    <w:semiHidden/>
    <w:unhideWhenUsed/>
    <w:rsid w:val="00D946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9468C"/>
    <w:rPr>
      <w:sz w:val="20"/>
      <w:szCs w:val="20"/>
    </w:rPr>
  </w:style>
  <w:style w:type="character" w:styleId="Rimandonotaapidipagina">
    <w:name w:val="footnote reference"/>
    <w:basedOn w:val="Carpredefinitoparagrafo"/>
    <w:uiPriority w:val="99"/>
    <w:semiHidden/>
    <w:unhideWhenUsed/>
    <w:rsid w:val="00D94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6707D-ACAE-4952-B7E2-BD508F01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3</Pages>
  <Words>1004</Words>
  <Characters>5727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Paola Bolgiani</cp:lastModifiedBy>
  <cp:revision>18</cp:revision>
  <dcterms:created xsi:type="dcterms:W3CDTF">2020-09-18T07:37:00Z</dcterms:created>
  <dcterms:modified xsi:type="dcterms:W3CDTF">2021-02-27T17:25:00Z</dcterms:modified>
</cp:coreProperties>
</file>