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1977" w14:textId="77777777" w:rsidR="004366B5" w:rsidRDefault="00AC0B46">
      <w:pPr>
        <w:pStyle w:val="Corpo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gioia, un affetto di soddisfazione</w:t>
      </w:r>
    </w:p>
    <w:p w14:paraId="59C8B9CE" w14:textId="77777777" w:rsidR="004366B5" w:rsidRDefault="00AC0B46">
      <w:pPr>
        <w:pStyle w:val="Corpo"/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Maria Bolgiani</w:t>
      </w:r>
    </w:p>
    <w:p w14:paraId="048CE9EF" w14:textId="77777777" w:rsidR="004366B5" w:rsidRDefault="004366B5">
      <w:pPr>
        <w:pStyle w:val="Corpo"/>
        <w:suppressAutoHyphens/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F71DFD" w14:textId="77777777" w:rsidR="004366B5" w:rsidRDefault="004366B5">
      <w:pPr>
        <w:pStyle w:val="Corpo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6342D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Soddisfazione e soddisfacimento sono termini che troviamo in Freud, che li declina secondo direttrici diverse e scopre in un primo tempo che il soddisfacimento ha a che fare con il sessuale, e non necessariamente è percepito come piacevole. </w:t>
      </w:r>
    </w:p>
    <w:p w14:paraId="634C5DD7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Il sintomo, pe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r esempio, può far soffrire ma comporta innegabilmente un soddisfacimento per il soggetto (tornaconto secondario del sintomo), un soddisfacimento che contraddice l’idea di una ricerca “naturale” del piacere e di cui Freud si accorge ben prima di concettual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izzare, molti anni più tardi, l’al di là del principio di piacere e la pulsione di morte.</w:t>
      </w:r>
    </w:p>
    <w:p w14:paraId="03B8E37E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Lacan fonda sulla scoperta freudiana di un al di là del principio di piacere il concetto di godimento, che nel corso del suo insegnamento viene trattato secondo prosp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ettive diverse. Resta però che anche per Lacan la soddisfazione non è necessariamente legata al piacere: qualcosa si soddisfa nel sintomo, nella ripetizione, e può comportare della sofferenza.</w:t>
      </w:r>
    </w:p>
    <w:p w14:paraId="66FBF8D7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a gioia, dunque, che posto ha?</w:t>
      </w:r>
    </w:p>
    <w:p w14:paraId="6B86466A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Televisione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Lacan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parla di “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gaio sapere” (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gay </w:t>
      </w:r>
      <w:proofErr w:type="spellStart"/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sçavoir</w:t>
      </w:r>
      <w:proofErr w:type="spellEnd"/>
      <w:r w:rsidRPr="00400DB5">
        <w:rPr>
          <w:rFonts w:ascii="Times New Roman" w:hAnsi="Times New Roman"/>
          <w:color w:val="000000" w:themeColor="text1"/>
          <w:sz w:val="24"/>
          <w:szCs w:val="24"/>
        </w:rPr>
        <w:t>) e afferma: “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l soggetto è felice”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l sapere in gioco in questo caso non è il sapere dei libri, non ha a che fare con la somma delle conoscenze, con il sapere che l’Io può acquisire prendendolo 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t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out court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dall’Altro; si tratta piuttosto di quel sapere nuovo, puntuale,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non durevole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, che si produce in analisi grazie al sollevamento della rimozione. Per questo Lacan scrive </w:t>
      </w:r>
      <w:proofErr w:type="spellStart"/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sçavoir</w:t>
      </w:r>
      <w:proofErr w:type="spellEnd"/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sapere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, includendo </w:t>
      </w:r>
      <w:proofErr w:type="spellStart"/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ça</w:t>
      </w:r>
      <w:proofErr w:type="spellEnd"/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nella grafia (termine francese per Es). Non ha a che fare con l’Io. Riguarda il soggetto che, in quanto soggetto, è felice.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Nell’analisi possiamo esperirlo come un effetto di alleggerimento, anche di alleviamento della sofferenza.</w:t>
      </w:r>
    </w:p>
    <w:p w14:paraId="19484972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Nello stesso testo, Laca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n oppone il gaio sapere alla tristezza e scrive che quello che designa come gaio sapere non riguarda il comprendere, il trovare il senso, l’“affondare nel senso, ma rasentarlo quanto è possibile senza che esso faccia da vischio”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come umani, infatti, non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possiamo fare del tutto a meno del senso, ma possiamo talvolta passarvi accanto senza rimanerne invischiati.</w:t>
      </w:r>
    </w:p>
    <w:p w14:paraId="0536547D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In fondo,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già Freud aveva colto in qualche modo la non centralità del senso, e ne aveva parlato per esempio nel testo sul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motto di spirito: l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a ris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ata, il piacere suscitati dal motto di spirito sono legati proprio al sollevamento della rimozione che il motto comporta. Anche in quel caso, è un piacere momentaneo, non durevole, e non legato al senso. Invece, è legato piuttosto al non senso, al suo esse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re paradossale rispetto al senso. Come sappiamo tutti per esperienza, un motto di spirito (una barzelletta), ha una logica, ma se viene spiegata non fa più ridere.</w:t>
      </w:r>
    </w:p>
    <w:p w14:paraId="1053EA1F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00DB5">
        <w:rPr>
          <w:rFonts w:ascii="Times New Roman" w:hAnsi="Times New Roman"/>
          <w:color w:val="000000" w:themeColor="text1"/>
          <w:sz w:val="24"/>
          <w:szCs w:val="24"/>
        </w:rPr>
        <w:lastRenderedPageBreak/>
        <w:t>Dunque</w:t>
      </w:r>
      <w:proofErr w:type="gramEnd"/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già Freud aveva colto qualcosa di importante rispetto a una soddisfazione (gioiosa) c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he non è legata al senso, ma sarà Lacan, e non Freud, a portare questa scoperta fino alle estreme conseguenze. </w:t>
      </w:r>
    </w:p>
    <w:p w14:paraId="7E496F44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Torna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nd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o al testo 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Televisione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: Laca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n conclude la frase che ho citato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in precedenza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(si tratta di “rasentare [il senso] quanto è possibile senza che esso fa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ccia da vischio”), aggiungendo: e “godere pertanto della decifrazione”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. Abbiamo qui un elemento nuovo: la decifrazione, annodata a un godimento gioioso.</w:t>
      </w:r>
    </w:p>
    <w:p w14:paraId="623E72E5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L’analisi stessa, a partire da Freud, è un lavoro di decifrazione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decifrazione di quelle formazioni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dell’inconscio (sogni, lapsus, atti mancati, sintomi) che hanno un versante di metafora e sono effetto di una cifratura operata dal soggetto. L’interpretazione in analisi è (anche) questo. Quindi decifrare non è spiegare,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si tratta invece di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decifrare sul filo del significante. Freud fa l’esempio della decifrazione dei geroglifici. </w:t>
      </w:r>
    </w:p>
    <w:p w14:paraId="10CAAA50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Presa in questo senso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la decifrazione ha che fare con il linguaggio. Ma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essa, come evidenzia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la frase di Lacan, porta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con sé il fatto che se ne gode, porta con sé un affetto. Quindi abbiamo in g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ioco qualcosa che tocca il corpo, cioè che non è solo linguaggio. </w:t>
      </w:r>
    </w:p>
    <w:p w14:paraId="49F480D9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Pochi anni dopo 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Televisione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, nel 1976, in un altro breve testo, </w:t>
      </w:r>
      <w:r w:rsidRPr="00400DB5">
        <w:rPr>
          <w:rFonts w:ascii="Times New Roman" w:hAnsi="Times New Roman"/>
          <w:i/>
          <w:iCs/>
          <w:color w:val="000000" w:themeColor="text1"/>
          <w:sz w:val="24"/>
          <w:szCs w:val="24"/>
        </w:rPr>
        <w:t>Prefazione all’edizione inglese del Seminario XI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, Lacan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compie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un passo ulteriore e scrive che si è sicuri di essere nell’inconscio solo quando non è in gioco alcuna po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rtata di senso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ta parlando della fine dell’analisi,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i quel momento di concludere che concerne il godimento più intimo dell’essere parlante, un punto non spiegabile né decifrabile. </w:t>
      </w:r>
    </w:p>
    <w:p w14:paraId="43FFF11A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Subito dopo aggiunge tre brevissime frasi: “Lo si sa,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da sé. Ma basta prestarvi attenzione che se ne esce. Qui non c’è nessuna amicizia per sostenere questo inconscio”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5"/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D15E57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“Lo si sa, da sé”: è in gioco qualcosa dell’ordine della certezza; non è un’opinione, una sensazione, un pensiero.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È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in gioco qualcosa che si prova nel corpo, una certezza che non è sotto l’egida della padronanza dell’io. </w:t>
      </w:r>
    </w:p>
    <w:p w14:paraId="171D1F07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“Qui non c’è nessuna amicizia per sostenere questo inconscio”: ciò che si prova non può essere confutato da qualcun altro, ma nemmeno ci si può appog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giare a qualcuno perché ce lo confermi; una certezza non si appoggia sull’Altro, nemmeno sul transfert. </w:t>
      </w:r>
    </w:p>
    <w:p w14:paraId="533C06D7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“Ma basta prestarvi attenzione che se ne esce”: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iamo umani, cioè esseri parlanti, e non sfuggiamo al pensiero, alla logica del senso. Leggo così il “prestarvi attenzione”. Appena prestiamo attenzione, appena ci ritroviamo nel pensiero, siamo altrove che non nell’inconsc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io.</w:t>
      </w:r>
    </w:p>
    <w:p w14:paraId="40DF41E5" w14:textId="77777777" w:rsidR="004366B5" w:rsidRPr="00400DB5" w:rsidRDefault="00AC0B46">
      <w:pPr>
        <w:pStyle w:val="Corpo"/>
        <w:suppressAutoHyphens/>
        <w:spacing w:line="360" w:lineRule="auto"/>
        <w:jc w:val="both"/>
        <w:rPr>
          <w:color w:val="000000" w:themeColor="text1"/>
        </w:rPr>
      </w:pPr>
      <w:r w:rsidRPr="00400DB5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a fine dell’analisi concerne quindi il godimento più intimo dell’essere parlante ed è un punto non spiegabile e non decifrabile.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Lacan scrive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che vi è una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“soddisfazione che segna la fine dell’analisi”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6"/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lastRenderedPageBreak/>
        <w:t>e che “dare questa soddisfazione è l’urgenza a cui l’analisi presiede”</w:t>
      </w:r>
      <w:r w:rsidRPr="00400DB5">
        <w:rPr>
          <w:rStyle w:val="Richiamoallanotaapidipagina"/>
          <w:rFonts w:ascii="Times New Roman" w:hAnsi="Times New Roman"/>
          <w:color w:val="000000" w:themeColor="text1"/>
          <w:sz w:val="24"/>
          <w:szCs w:val="24"/>
        </w:rPr>
        <w:footnoteReference w:id="7"/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Quindi la soddisfazione di fine analisi non è contingente ma di struttura.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Ed è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una soddisfazione dell’ordine della gioi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a, 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>gioia legata al ritrovarsi nell’inconscio,</w:t>
      </w:r>
      <w:r w:rsidRPr="00400DB5">
        <w:rPr>
          <w:rFonts w:ascii="Times New Roman" w:hAnsi="Times New Roman"/>
          <w:color w:val="000000" w:themeColor="text1"/>
          <w:sz w:val="24"/>
          <w:szCs w:val="24"/>
        </w:rPr>
        <w:t xml:space="preserve"> come insegnano le testimonianze di passe.</w:t>
      </w:r>
    </w:p>
    <w:p w14:paraId="4FEFB539" w14:textId="77777777" w:rsidR="004366B5" w:rsidRDefault="004366B5">
      <w:pPr>
        <w:pStyle w:val="Corpo"/>
        <w:suppressAutoHyphens/>
        <w:spacing w:line="360" w:lineRule="auto"/>
        <w:jc w:val="both"/>
      </w:pPr>
    </w:p>
    <w:p w14:paraId="3A082D0A" w14:textId="77777777" w:rsidR="004366B5" w:rsidRDefault="004366B5">
      <w:pPr>
        <w:pStyle w:val="Corpo"/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366B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A9BB" w14:textId="77777777" w:rsidR="00AC0B46" w:rsidRDefault="00AC0B46">
      <w:r>
        <w:separator/>
      </w:r>
    </w:p>
  </w:endnote>
  <w:endnote w:type="continuationSeparator" w:id="0">
    <w:p w14:paraId="12F32C60" w14:textId="77777777" w:rsidR="00AC0B46" w:rsidRDefault="00AC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057F" w14:textId="77777777" w:rsidR="004366B5" w:rsidRDefault="00AC0B46">
    <w:pPr>
      <w:pStyle w:val="Intestazioneepidipagina"/>
      <w:tabs>
        <w:tab w:val="clear" w:pos="9020"/>
        <w:tab w:val="center" w:pos="4819"/>
        <w:tab w:val="right" w:pos="9638"/>
      </w:tabs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>PAGE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0AF29" w14:textId="77777777" w:rsidR="00AC0B46" w:rsidRDefault="00AC0B46">
      <w:pPr>
        <w:rPr>
          <w:sz w:val="12"/>
        </w:rPr>
      </w:pPr>
      <w:r>
        <w:separator/>
      </w:r>
    </w:p>
  </w:footnote>
  <w:footnote w:type="continuationSeparator" w:id="0">
    <w:p w14:paraId="7CFDDA8F" w14:textId="77777777" w:rsidR="00AC0B46" w:rsidRDefault="00AC0B46">
      <w:pPr>
        <w:rPr>
          <w:sz w:val="12"/>
        </w:rPr>
      </w:pPr>
      <w:r>
        <w:continuationSeparator/>
      </w:r>
    </w:p>
  </w:footnote>
  <w:footnote w:id="1">
    <w:p w14:paraId="2E537C96" w14:textId="77777777" w:rsidR="004366B5" w:rsidRPr="00400DB5" w:rsidRDefault="00AC0B46">
      <w:pPr>
        <w:pStyle w:val="Testonotaapidipagina"/>
        <w:ind w:firstLine="0"/>
        <w:rPr>
          <w:lang w:val="it-IT"/>
        </w:rPr>
      </w:pPr>
      <w:r>
        <w:rPr>
          <w:rStyle w:val="Caratterinotaapidipagina"/>
        </w:rPr>
        <w:footnoteRef/>
      </w:r>
      <w:r w:rsidRPr="00400DB5">
        <w:rPr>
          <w:lang w:val="it-IT"/>
        </w:rPr>
        <w:t xml:space="preserve"> </w:t>
      </w:r>
      <w:r w:rsidRPr="00400DB5">
        <w:rPr>
          <w:smallCaps/>
          <w:lang w:val="it-IT"/>
        </w:rPr>
        <w:t>Jacques Lacan</w:t>
      </w:r>
      <w:r w:rsidRPr="00400DB5">
        <w:rPr>
          <w:lang w:val="it-IT"/>
        </w:rPr>
        <w:t xml:space="preserve">, </w:t>
      </w:r>
      <w:r w:rsidRPr="00400DB5">
        <w:rPr>
          <w:i/>
          <w:iCs/>
          <w:lang w:val="it-IT"/>
        </w:rPr>
        <w:t>Televisione</w:t>
      </w:r>
      <w:r w:rsidRPr="00400DB5">
        <w:rPr>
          <w:lang w:val="it-IT"/>
        </w:rPr>
        <w:t xml:space="preserve"> (1973), in </w:t>
      </w:r>
      <w:r w:rsidRPr="00400DB5">
        <w:rPr>
          <w:i/>
          <w:iCs/>
          <w:lang w:val="it-IT"/>
        </w:rPr>
        <w:t>Altri Scritti</w:t>
      </w:r>
      <w:r w:rsidRPr="00400DB5">
        <w:rPr>
          <w:lang w:val="it-IT"/>
        </w:rPr>
        <w:t>, Einaudi, Torino 2013, p. 521.</w:t>
      </w:r>
    </w:p>
  </w:footnote>
  <w:footnote w:id="2">
    <w:p w14:paraId="53DF5C82" w14:textId="77777777" w:rsidR="004366B5" w:rsidRPr="00400DB5" w:rsidRDefault="00AC0B46">
      <w:pPr>
        <w:pStyle w:val="Testonotaapidipagina"/>
        <w:ind w:firstLine="0"/>
        <w:rPr>
          <w:lang w:val="it-IT"/>
        </w:rPr>
      </w:pPr>
      <w:r>
        <w:rPr>
          <w:rStyle w:val="Caratterinotaapidipagina"/>
        </w:rPr>
        <w:footnoteRef/>
      </w:r>
      <w:r w:rsidRPr="00400DB5">
        <w:rPr>
          <w:lang w:val="it-IT"/>
        </w:rPr>
        <w:t xml:space="preserve"> Ibidem.</w:t>
      </w:r>
    </w:p>
  </w:footnote>
  <w:footnote w:id="3">
    <w:p w14:paraId="3AECD526" w14:textId="77777777" w:rsidR="004366B5" w:rsidRPr="00400DB5" w:rsidRDefault="00AC0B46">
      <w:pPr>
        <w:pStyle w:val="Testonotaapidipagina"/>
        <w:ind w:firstLine="0"/>
        <w:rPr>
          <w:lang w:val="it-IT"/>
        </w:rPr>
      </w:pPr>
      <w:r>
        <w:rPr>
          <w:rStyle w:val="Caratterinotaapidipagina"/>
        </w:rPr>
        <w:footnoteRef/>
      </w:r>
      <w:r w:rsidRPr="00400DB5">
        <w:rPr>
          <w:lang w:val="it-IT"/>
        </w:rPr>
        <w:t xml:space="preserve"> Ibidem.</w:t>
      </w:r>
    </w:p>
  </w:footnote>
  <w:footnote w:id="4">
    <w:p w14:paraId="2AB9D831" w14:textId="77777777" w:rsidR="004366B5" w:rsidRPr="00400DB5" w:rsidRDefault="00AC0B46">
      <w:pPr>
        <w:pStyle w:val="Testonotaapidipagina"/>
        <w:ind w:firstLine="0"/>
        <w:rPr>
          <w:lang w:val="it-IT"/>
        </w:rPr>
      </w:pPr>
      <w:r>
        <w:rPr>
          <w:rStyle w:val="Caratterinotaapidipagina"/>
        </w:rPr>
        <w:footnoteRef/>
      </w:r>
      <w:r w:rsidRPr="00400DB5">
        <w:rPr>
          <w:lang w:val="it-IT"/>
        </w:rPr>
        <w:t xml:space="preserve"> Id., </w:t>
      </w:r>
      <w:r w:rsidRPr="00400DB5">
        <w:rPr>
          <w:i/>
          <w:iCs/>
          <w:lang w:val="it-IT"/>
        </w:rPr>
        <w:t xml:space="preserve">Prefazione </w:t>
      </w:r>
      <w:r w:rsidRPr="00400DB5">
        <w:rPr>
          <w:i/>
          <w:iCs/>
          <w:lang w:val="it-IT"/>
        </w:rPr>
        <w:t>all’edizione inglese del Seminario XI</w:t>
      </w:r>
      <w:r w:rsidRPr="00400DB5">
        <w:rPr>
          <w:lang w:val="it-IT"/>
        </w:rPr>
        <w:t xml:space="preserve"> (1976), in </w:t>
      </w:r>
      <w:r w:rsidRPr="00400DB5">
        <w:rPr>
          <w:i/>
          <w:iCs/>
          <w:lang w:val="it-IT"/>
        </w:rPr>
        <w:t>Altri Scritti</w:t>
      </w:r>
      <w:r w:rsidRPr="00400DB5">
        <w:rPr>
          <w:lang w:val="it-IT"/>
        </w:rPr>
        <w:t>, cit., p. 563.</w:t>
      </w:r>
    </w:p>
  </w:footnote>
  <w:footnote w:id="5">
    <w:p w14:paraId="36A78AEC" w14:textId="77777777" w:rsidR="004366B5" w:rsidRDefault="00AC0B46">
      <w:pPr>
        <w:pStyle w:val="Testonotaapidipagina"/>
        <w:ind w:firstLine="0"/>
      </w:pPr>
      <w:r>
        <w:rPr>
          <w:rStyle w:val="Caratterinotaapidipagina"/>
        </w:rPr>
        <w:footnoteRef/>
      </w:r>
      <w:r>
        <w:t xml:space="preserve"> Ibidem.</w:t>
      </w:r>
    </w:p>
  </w:footnote>
  <w:footnote w:id="6">
    <w:p w14:paraId="54893F46" w14:textId="77777777" w:rsidR="004366B5" w:rsidRDefault="00AC0B46">
      <w:pPr>
        <w:pStyle w:val="Testonotaapidipagina"/>
        <w:ind w:firstLine="0"/>
      </w:pPr>
      <w:r>
        <w:rPr>
          <w:rStyle w:val="Caratterinotaapidipagina"/>
        </w:rPr>
        <w:footnoteRef/>
      </w:r>
      <w:r>
        <w:t xml:space="preserve"> Ibidem, p. 565.</w:t>
      </w:r>
    </w:p>
  </w:footnote>
  <w:footnote w:id="7">
    <w:p w14:paraId="304D3B78" w14:textId="77777777" w:rsidR="004366B5" w:rsidRDefault="00AC0B46">
      <w:pPr>
        <w:pStyle w:val="Testonotaapidipagina"/>
        <w:ind w:firstLine="0"/>
      </w:pPr>
      <w:r>
        <w:rPr>
          <w:rStyle w:val="Caratterinotaapidipagina"/>
        </w:rPr>
        <w:footnoteRef/>
      </w:r>
      <w:r>
        <w:t xml:space="preserve"> Ibidem.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B3DF" w14:textId="77777777" w:rsidR="004366B5" w:rsidRDefault="004366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B5"/>
    <w:rsid w:val="00400DB5"/>
    <w:rsid w:val="004366B5"/>
    <w:rsid w:val="00A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94A32"/>
  <w15:docId w15:val="{FC4F21B2-53EE-1242-B4E5-7A84240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Paola Bolgiani</cp:lastModifiedBy>
  <cp:revision>48</cp:revision>
  <dcterms:created xsi:type="dcterms:W3CDTF">2021-02-27T17:17:00Z</dcterms:created>
  <dcterms:modified xsi:type="dcterms:W3CDTF">2021-02-27T17:18:00Z</dcterms:modified>
  <dc:language>it-IT</dc:language>
</cp:coreProperties>
</file>